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01E28" w14:textId="77777777" w:rsidR="005C7D9A" w:rsidRDefault="00000000">
      <w:pPr>
        <w:spacing w:line="360" w:lineRule="auto"/>
        <w:ind w:firstLine="0"/>
        <w:jc w:val="center"/>
        <w:rPr>
          <w:b/>
          <w:sz w:val="32"/>
          <w:szCs w:val="32"/>
        </w:rPr>
      </w:pPr>
      <w:r>
        <w:rPr>
          <w:b/>
          <w:sz w:val="32"/>
          <w:szCs w:val="32"/>
        </w:rPr>
        <w:t>Language as a tool to achieve the gender gap: examining the use and attitudes toward gender-inclusive language in top echelon positions</w:t>
      </w:r>
    </w:p>
    <w:p w14:paraId="6651C962" w14:textId="77777777" w:rsidR="005C7D9A" w:rsidRDefault="005C7D9A">
      <w:pPr>
        <w:spacing w:line="360" w:lineRule="auto"/>
        <w:rPr>
          <w:b/>
        </w:rPr>
      </w:pPr>
    </w:p>
    <w:p w14:paraId="6AA7A152" w14:textId="77777777" w:rsidR="005C7D9A" w:rsidRDefault="005C7D9A">
      <w:pPr>
        <w:spacing w:line="360" w:lineRule="auto"/>
        <w:rPr>
          <w:b/>
        </w:rPr>
      </w:pPr>
    </w:p>
    <w:p w14:paraId="3BE4B622" w14:textId="77777777" w:rsidR="005C7D9A" w:rsidRDefault="005C7D9A">
      <w:pPr>
        <w:spacing w:line="360" w:lineRule="auto"/>
        <w:rPr>
          <w:b/>
          <w:sz w:val="24"/>
          <w:szCs w:val="24"/>
        </w:rPr>
      </w:pPr>
    </w:p>
    <w:p w14:paraId="502C0D0B" w14:textId="77777777" w:rsidR="005C7D9A" w:rsidRDefault="00000000">
      <w:pPr>
        <w:spacing w:line="360" w:lineRule="auto"/>
        <w:ind w:firstLine="0"/>
        <w:rPr>
          <w:b/>
          <w:sz w:val="24"/>
          <w:szCs w:val="24"/>
        </w:rPr>
      </w:pPr>
      <w:r>
        <w:rPr>
          <w:b/>
          <w:sz w:val="24"/>
          <w:szCs w:val="24"/>
        </w:rPr>
        <w:t>Abstract</w:t>
      </w:r>
    </w:p>
    <w:p w14:paraId="44FD3EE8"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Framing of the research. </w:t>
      </w:r>
      <w:r>
        <w:rPr>
          <w:i/>
          <w:color w:val="000000"/>
        </w:rPr>
        <w:t>Feminine job titles are grammatically correct. Better yet, they align with the general behavior of Italian personal nouns, unlike the use of masculine forms to address women, which displays an unusual mismatch between a term and its referent’s gender. Moreover, such use is asymmetric and elicits undesirable psychological effects, such as evoking male images, lowering women’s interest in a job offer and their perceived fitness for a position, also the top echelon ones. Notwithstanding, the use of feminine job titles is still widely resisted.</w:t>
      </w:r>
    </w:p>
    <w:p w14:paraId="426310F0"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Purpose of the paper. </w:t>
      </w:r>
      <w:r>
        <w:rPr>
          <w:i/>
          <w:color w:val="000000"/>
        </w:rPr>
        <w:t xml:space="preserve"> The present study investigated the extent to which feminine terms referring to the top echelon positions are widespread and whether such terms elicit an emotionally laden attitude, either positively or negatively. The study analyses the evolution in the use of the terms identified for research and the public’s positive or negative attitude toward them.</w:t>
      </w:r>
    </w:p>
    <w:p w14:paraId="6D8DAC0A"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Methodology. </w:t>
      </w:r>
      <w:r>
        <w:rPr>
          <w:i/>
          <w:color w:val="000000"/>
        </w:rPr>
        <w:t>Twitter was used as the data source, and an Italian-language corpus-specific sentiment analysis algorithm FEEL-IT was applied.</w:t>
      </w:r>
    </w:p>
    <w:p w14:paraId="6F0DE834"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Results. </w:t>
      </w:r>
      <w:r>
        <w:rPr>
          <w:i/>
          <w:color w:val="000000"/>
        </w:rPr>
        <w:t>We found an increase over time in the use of feminine terms. A difference in attitude within the various keywords. A positive and negative attitude has also evolved over time.</w:t>
      </w:r>
    </w:p>
    <w:p w14:paraId="0391F460" w14:textId="77777777" w:rsidR="005C7D9A" w:rsidRDefault="00000000">
      <w:pPr>
        <w:pBdr>
          <w:top w:val="nil"/>
          <w:left w:val="nil"/>
          <w:bottom w:val="nil"/>
          <w:right w:val="nil"/>
          <w:between w:val="nil"/>
        </w:pBdr>
        <w:spacing w:line="240" w:lineRule="auto"/>
        <w:ind w:firstLine="284"/>
        <w:rPr>
          <w:b/>
          <w:color w:val="000000"/>
        </w:rPr>
      </w:pPr>
      <w:r>
        <w:rPr>
          <w:b/>
          <w:color w:val="000000"/>
        </w:rPr>
        <w:t>Research limitations.</w:t>
      </w:r>
      <w:r>
        <w:rPr>
          <w:i/>
          <w:color w:val="000000"/>
        </w:rPr>
        <w:t xml:space="preserve"> The difficulty was identifying a search key that allows downloading relevant tweets.</w:t>
      </w:r>
    </w:p>
    <w:p w14:paraId="1158C67E"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Managerial implications. </w:t>
      </w:r>
      <w:r>
        <w:rPr>
          <w:i/>
          <w:color w:val="000000"/>
        </w:rPr>
        <w:t xml:space="preserve">As one of the most powerful ways implicit </w:t>
      </w:r>
      <w:proofErr w:type="gramStart"/>
      <w:r>
        <w:rPr>
          <w:i/>
          <w:color w:val="000000"/>
        </w:rPr>
        <w:t>bias</w:t>
      </w:r>
      <w:proofErr w:type="gramEnd"/>
      <w:r>
        <w:rPr>
          <w:i/>
          <w:color w:val="000000"/>
        </w:rPr>
        <w:t xml:space="preserve"> (i.e. automatic and unconscious beliefs) can act is through language, a robust understanding of the public’s positive or negative attitude toward feminine terms can contribute to the gender achievement gap in top echelon positions. </w:t>
      </w:r>
    </w:p>
    <w:p w14:paraId="15C38B6B" w14:textId="77777777" w:rsidR="005C7D9A" w:rsidRDefault="00000000">
      <w:pPr>
        <w:pBdr>
          <w:top w:val="nil"/>
          <w:left w:val="nil"/>
          <w:bottom w:val="nil"/>
          <w:right w:val="nil"/>
          <w:between w:val="nil"/>
        </w:pBdr>
        <w:spacing w:line="240" w:lineRule="auto"/>
        <w:ind w:firstLine="284"/>
        <w:rPr>
          <w:b/>
          <w:color w:val="000000"/>
        </w:rPr>
      </w:pPr>
      <w:r>
        <w:rPr>
          <w:b/>
          <w:color w:val="000000"/>
        </w:rPr>
        <w:t xml:space="preserve">Originality of the paper. </w:t>
      </w:r>
      <w:r>
        <w:rPr>
          <w:i/>
          <w:color w:val="000000"/>
        </w:rPr>
        <w:t>To the best of our knowledge, we used Twitter for the first time as a data source to perform a sociolinguistic study about feminine terms referring to the top echelon positions and map the evolution of selected terms within public opinion.</w:t>
      </w:r>
    </w:p>
    <w:p w14:paraId="09C851D4" w14:textId="77777777" w:rsidR="005C7D9A" w:rsidRDefault="005C7D9A">
      <w:pPr>
        <w:spacing w:line="360" w:lineRule="auto"/>
        <w:rPr>
          <w:b/>
          <w:sz w:val="24"/>
          <w:szCs w:val="24"/>
        </w:rPr>
      </w:pPr>
    </w:p>
    <w:p w14:paraId="64F7F034" w14:textId="77777777" w:rsidR="005C7D9A" w:rsidRDefault="00000000">
      <w:pPr>
        <w:spacing w:line="360" w:lineRule="auto"/>
        <w:ind w:firstLine="0"/>
      </w:pPr>
      <w:r>
        <w:rPr>
          <w:b/>
        </w:rPr>
        <w:t>Keywords:</w:t>
      </w:r>
      <w:r>
        <w:t xml:space="preserve"> </w:t>
      </w:r>
      <w:r>
        <w:rPr>
          <w:i/>
        </w:rPr>
        <w:t>top echelon, inclusive language, gender, Twitter, NLP, sentiment analysis</w:t>
      </w:r>
    </w:p>
    <w:p w14:paraId="16C6F1F4" w14:textId="77777777" w:rsidR="005C7D9A" w:rsidRDefault="005C7D9A">
      <w:pPr>
        <w:spacing w:line="360" w:lineRule="auto"/>
        <w:ind w:firstLine="0"/>
      </w:pPr>
    </w:p>
    <w:p w14:paraId="693CE92B" w14:textId="77777777" w:rsidR="005C7D9A" w:rsidRDefault="005C7D9A">
      <w:pPr>
        <w:spacing w:line="360" w:lineRule="auto"/>
        <w:ind w:firstLine="0"/>
      </w:pPr>
    </w:p>
    <w:p w14:paraId="60C9F40E" w14:textId="77777777" w:rsidR="005C7D9A" w:rsidRDefault="005C7D9A">
      <w:pPr>
        <w:spacing w:line="360" w:lineRule="auto"/>
        <w:ind w:firstLine="0"/>
      </w:pPr>
    </w:p>
    <w:p w14:paraId="3EA4AA55" w14:textId="77777777" w:rsidR="005C7D9A" w:rsidRDefault="005C7D9A">
      <w:pPr>
        <w:spacing w:line="360" w:lineRule="auto"/>
        <w:ind w:firstLine="0"/>
      </w:pPr>
    </w:p>
    <w:p w14:paraId="4E275246" w14:textId="77777777" w:rsidR="005C7D9A" w:rsidRDefault="005C7D9A">
      <w:pPr>
        <w:spacing w:line="360" w:lineRule="auto"/>
        <w:ind w:firstLine="0"/>
      </w:pPr>
    </w:p>
    <w:p w14:paraId="558C27A3" w14:textId="77777777" w:rsidR="005C7D9A" w:rsidRDefault="005C7D9A">
      <w:pPr>
        <w:spacing w:line="360" w:lineRule="auto"/>
        <w:ind w:firstLine="0"/>
      </w:pPr>
    </w:p>
    <w:p w14:paraId="7CD97ABE" w14:textId="77777777" w:rsidR="005C7D9A" w:rsidRDefault="005C7D9A">
      <w:pPr>
        <w:spacing w:line="360" w:lineRule="auto"/>
        <w:ind w:firstLine="0"/>
      </w:pPr>
    </w:p>
    <w:p w14:paraId="3E46C5C2" w14:textId="77777777" w:rsidR="005C7D9A" w:rsidRDefault="005C7D9A">
      <w:pPr>
        <w:spacing w:line="360" w:lineRule="auto"/>
        <w:ind w:firstLine="0"/>
      </w:pPr>
    </w:p>
    <w:p w14:paraId="3C1D6B55" w14:textId="77777777" w:rsidR="005C7D9A" w:rsidRDefault="005C7D9A">
      <w:pPr>
        <w:spacing w:line="360" w:lineRule="auto"/>
        <w:ind w:firstLine="0"/>
      </w:pPr>
    </w:p>
    <w:p w14:paraId="4FAB7D23" w14:textId="77777777" w:rsidR="005C7D9A" w:rsidRDefault="005C7D9A">
      <w:pPr>
        <w:spacing w:line="360" w:lineRule="auto"/>
        <w:ind w:firstLine="0"/>
        <w:rPr>
          <w:sz w:val="24"/>
          <w:szCs w:val="24"/>
        </w:rPr>
      </w:pPr>
    </w:p>
    <w:p w14:paraId="00EC78B7" w14:textId="77777777" w:rsidR="005C7D9A" w:rsidRDefault="00000000">
      <w:pPr>
        <w:pStyle w:val="Titolo1"/>
        <w:spacing w:line="360" w:lineRule="auto"/>
        <w:ind w:firstLine="0"/>
      </w:pPr>
      <w:bookmarkStart w:id="0" w:name="_heading=h.gjdgxs" w:colFirst="0" w:colLast="0"/>
      <w:bookmarkEnd w:id="0"/>
      <w:r>
        <w:rPr>
          <w:b/>
          <w:sz w:val="24"/>
          <w:szCs w:val="24"/>
        </w:rPr>
        <w:lastRenderedPageBreak/>
        <w:t>1.</w:t>
      </w:r>
      <w:r>
        <w:rPr>
          <w:b/>
          <w:sz w:val="24"/>
          <w:szCs w:val="24"/>
        </w:rPr>
        <w:tab/>
        <w:t>Introduction</w:t>
      </w:r>
    </w:p>
    <w:p w14:paraId="0ADFC586" w14:textId="77777777" w:rsidR="005C7D9A" w:rsidRDefault="00000000">
      <w:pPr>
        <w:spacing w:line="240" w:lineRule="auto"/>
        <w:rPr>
          <w:sz w:val="24"/>
          <w:szCs w:val="24"/>
        </w:rPr>
      </w:pPr>
      <w:r>
        <w:rPr>
          <w:sz w:val="24"/>
          <w:szCs w:val="24"/>
        </w:rPr>
        <w:t xml:space="preserve">“A father and his son are hit by a car. The father dies and the boy is brought to the hospital where, however, the surgeon </w:t>
      </w:r>
      <w:proofErr w:type="gramStart"/>
      <w:r>
        <w:rPr>
          <w:sz w:val="24"/>
          <w:szCs w:val="24"/>
        </w:rPr>
        <w:t>says</w:t>
      </w:r>
      <w:proofErr w:type="gramEnd"/>
      <w:r>
        <w:rPr>
          <w:sz w:val="24"/>
          <w:szCs w:val="24"/>
        </w:rPr>
        <w:t xml:space="preserve"> ‘I cannot operate on him: he’s my son’. How is it possible?” This old riddle keeps troubling guessers, as Belle et al. 2021 and Morehouse et al. 2022 show, who struggle to provide the most likely solution:</w:t>
      </w:r>
      <w:r>
        <w:rPr>
          <w:sz w:val="24"/>
          <w:szCs w:val="24"/>
          <w:vertAlign w:val="superscript"/>
        </w:rPr>
        <w:footnoteReference w:id="1"/>
      </w:r>
      <w:r>
        <w:rPr>
          <w:sz w:val="24"/>
          <w:szCs w:val="24"/>
        </w:rPr>
        <w:t xml:space="preserve"> the surgeon is the boy’s mother. Unlike English, Italian marks gender on every noun, so “surgeon” </w:t>
      </w:r>
      <w:proofErr w:type="gramStart"/>
      <w:r>
        <w:rPr>
          <w:sz w:val="24"/>
          <w:szCs w:val="24"/>
        </w:rPr>
        <w:t>has to</w:t>
      </w:r>
      <w:proofErr w:type="gramEnd"/>
      <w:r>
        <w:rPr>
          <w:sz w:val="24"/>
          <w:szCs w:val="24"/>
        </w:rPr>
        <w:t xml:space="preserve"> be either feminine or masculine in an Italian version of the riddle (De Francisco 1992). Intuitively, using it in the masculine would make the riddle even more difficult to solve while, on the contrary, using it in the feminine would dispel the enigma. Thus, while the English word lacks a gender specification and allows for stereotypes, such as that according to which surgeons are men, to inform the answer, Italian forces the speaker to choose a gender for “surgeon”, either supporting or challenging the stereotypes. This example shows, on an intuitive level, that using feminine professional titles makes women visible while using masculine ones reinforces the stereotype that, e.g., entrepreneurs, board members, and administrators are men (</w:t>
      </w:r>
      <w:proofErr w:type="spellStart"/>
      <w:r>
        <w:rPr>
          <w:sz w:val="24"/>
          <w:szCs w:val="24"/>
        </w:rPr>
        <w:t>Shambaugh</w:t>
      </w:r>
      <w:proofErr w:type="spellEnd"/>
      <w:r>
        <w:rPr>
          <w:sz w:val="24"/>
          <w:szCs w:val="24"/>
        </w:rPr>
        <w:t xml:space="preserve"> 2008; Coffman 2014; </w:t>
      </w:r>
      <w:proofErr w:type="spellStart"/>
      <w:r>
        <w:rPr>
          <w:sz w:val="24"/>
          <w:szCs w:val="24"/>
        </w:rPr>
        <w:t>Bordalo</w:t>
      </w:r>
      <w:proofErr w:type="spellEnd"/>
      <w:r>
        <w:rPr>
          <w:sz w:val="24"/>
          <w:szCs w:val="24"/>
        </w:rPr>
        <w:t xml:space="preserve"> et al. 2016; </w:t>
      </w:r>
      <w:proofErr w:type="spellStart"/>
      <w:r>
        <w:rPr>
          <w:sz w:val="24"/>
          <w:szCs w:val="24"/>
        </w:rPr>
        <w:t>Dutt</w:t>
      </w:r>
      <w:proofErr w:type="spellEnd"/>
      <w:r>
        <w:rPr>
          <w:sz w:val="24"/>
          <w:szCs w:val="24"/>
        </w:rPr>
        <w:t xml:space="preserve"> et al. 2016; Wu 2018; </w:t>
      </w:r>
      <w:proofErr w:type="spellStart"/>
      <w:r>
        <w:rPr>
          <w:sz w:val="24"/>
          <w:szCs w:val="24"/>
        </w:rPr>
        <w:t>Bohren</w:t>
      </w:r>
      <w:proofErr w:type="spellEnd"/>
      <w:r>
        <w:rPr>
          <w:sz w:val="24"/>
          <w:szCs w:val="24"/>
        </w:rPr>
        <w:t xml:space="preserve"> et al. 2019; </w:t>
      </w:r>
      <w:proofErr w:type="spellStart"/>
      <w:r>
        <w:rPr>
          <w:sz w:val="24"/>
          <w:szCs w:val="24"/>
        </w:rPr>
        <w:t>Carlana</w:t>
      </w:r>
      <w:proofErr w:type="spellEnd"/>
      <w:r>
        <w:rPr>
          <w:sz w:val="24"/>
          <w:szCs w:val="24"/>
        </w:rPr>
        <w:t xml:space="preserve"> 2019; </w:t>
      </w:r>
      <w:proofErr w:type="spellStart"/>
      <w:r>
        <w:rPr>
          <w:sz w:val="24"/>
          <w:szCs w:val="24"/>
        </w:rPr>
        <w:t>Giusta</w:t>
      </w:r>
      <w:proofErr w:type="spellEnd"/>
      <w:r>
        <w:rPr>
          <w:sz w:val="24"/>
          <w:szCs w:val="24"/>
        </w:rPr>
        <w:t xml:space="preserve"> and Bosworth 2020). This point is supported by several empirical studies (see </w:t>
      </w:r>
      <w:proofErr w:type="spellStart"/>
      <w:r>
        <w:rPr>
          <w:sz w:val="24"/>
          <w:szCs w:val="24"/>
        </w:rPr>
        <w:t>Sczesny</w:t>
      </w:r>
      <w:proofErr w:type="spellEnd"/>
      <w:r>
        <w:rPr>
          <w:sz w:val="24"/>
          <w:szCs w:val="24"/>
        </w:rPr>
        <w:t xml:space="preserve"> et al. 2016 and </w:t>
      </w:r>
      <w:proofErr w:type="spellStart"/>
      <w:r>
        <w:rPr>
          <w:sz w:val="24"/>
          <w:szCs w:val="24"/>
        </w:rPr>
        <w:t>Gygax</w:t>
      </w:r>
      <w:proofErr w:type="spellEnd"/>
      <w:r>
        <w:rPr>
          <w:sz w:val="24"/>
          <w:szCs w:val="24"/>
        </w:rPr>
        <w:t xml:space="preserve"> et al. 2021 for an overview) showing that masculine terms evoke male mental images.</w:t>
      </w:r>
      <w:r>
        <w:rPr>
          <w:sz w:val="24"/>
          <w:szCs w:val="24"/>
          <w:vertAlign w:val="superscript"/>
        </w:rPr>
        <w:footnoteReference w:id="2"/>
      </w:r>
      <w:r>
        <w:rPr>
          <w:sz w:val="24"/>
          <w:szCs w:val="24"/>
        </w:rPr>
        <w:t xml:space="preserve"> For instance, Stahlberg et al. (2001) found that respondents were likelier to list men than women if a question was posed in the masculine. Presumably, then, using masculine professional titles would make it more difficult to think of women when nominating for promotions or top echelon potions. Furthermore, specific experiments showed that women are more interested in entrepreneurship programs (</w:t>
      </w:r>
      <w:proofErr w:type="spellStart"/>
      <w:r>
        <w:rPr>
          <w:sz w:val="24"/>
          <w:szCs w:val="24"/>
        </w:rPr>
        <w:t>Alesina</w:t>
      </w:r>
      <w:proofErr w:type="spellEnd"/>
      <w:r>
        <w:rPr>
          <w:sz w:val="24"/>
          <w:szCs w:val="24"/>
        </w:rPr>
        <w:t xml:space="preserve"> et al. 2018; </w:t>
      </w:r>
      <w:proofErr w:type="spellStart"/>
      <w:r>
        <w:rPr>
          <w:sz w:val="24"/>
          <w:szCs w:val="24"/>
        </w:rPr>
        <w:t>Hentschel</w:t>
      </w:r>
      <w:proofErr w:type="spellEnd"/>
      <w:r>
        <w:rPr>
          <w:sz w:val="24"/>
          <w:szCs w:val="24"/>
        </w:rPr>
        <w:t xml:space="preserve"> et al. 2018) and children, regardless of gender, in job positions (</w:t>
      </w:r>
      <w:proofErr w:type="spellStart"/>
      <w:r>
        <w:rPr>
          <w:sz w:val="24"/>
          <w:szCs w:val="24"/>
        </w:rPr>
        <w:t>Vervecken</w:t>
      </w:r>
      <w:proofErr w:type="spellEnd"/>
      <w:r>
        <w:rPr>
          <w:sz w:val="24"/>
          <w:szCs w:val="24"/>
        </w:rPr>
        <w:t xml:space="preserve"> et al. 2013; </w:t>
      </w:r>
      <w:proofErr w:type="spellStart"/>
      <w:r>
        <w:rPr>
          <w:sz w:val="24"/>
          <w:szCs w:val="24"/>
        </w:rPr>
        <w:t>Vervecken</w:t>
      </w:r>
      <w:proofErr w:type="spellEnd"/>
      <w:r>
        <w:rPr>
          <w:sz w:val="24"/>
          <w:szCs w:val="24"/>
        </w:rPr>
        <w:t xml:space="preserve"> and Hannover 2015) when these are advertised using feminine professional titles. Moreover, women are evaluated as a fitter for a position if the latter is described with feminine terms as well (Horvath and </w:t>
      </w:r>
      <w:proofErr w:type="spellStart"/>
      <w:r>
        <w:rPr>
          <w:sz w:val="24"/>
          <w:szCs w:val="24"/>
        </w:rPr>
        <w:t>Sczesny</w:t>
      </w:r>
      <w:proofErr w:type="spellEnd"/>
      <w:r>
        <w:rPr>
          <w:sz w:val="24"/>
          <w:szCs w:val="24"/>
        </w:rPr>
        <w:t xml:space="preserve"> 2016). So, language does not merely reflect reality, but influences it. </w:t>
      </w:r>
      <w:proofErr w:type="gramStart"/>
      <w:r>
        <w:rPr>
          <w:sz w:val="24"/>
          <w:szCs w:val="24"/>
        </w:rPr>
        <w:t>In particular, language</w:t>
      </w:r>
      <w:proofErr w:type="gramEnd"/>
      <w:r>
        <w:rPr>
          <w:sz w:val="24"/>
          <w:szCs w:val="24"/>
        </w:rPr>
        <w:t xml:space="preserve"> directs our attention towards certain aspects, making them salient, and away from others, making them more difficult to notice. Moreover, language is not simply a passive means through which we express </w:t>
      </w:r>
      <w:proofErr w:type="gramStart"/>
      <w:r>
        <w:rPr>
          <w:sz w:val="24"/>
          <w:szCs w:val="24"/>
        </w:rPr>
        <w:t>ourselves, but</w:t>
      </w:r>
      <w:proofErr w:type="gramEnd"/>
      <w:r>
        <w:rPr>
          <w:sz w:val="24"/>
          <w:szCs w:val="24"/>
        </w:rPr>
        <w:t xml:space="preserve"> can and is constantly used to modify reality: as John Austin 1962 famously showed, we </w:t>
      </w:r>
      <w:r>
        <w:rPr>
          <w:i/>
          <w:sz w:val="24"/>
          <w:szCs w:val="24"/>
        </w:rPr>
        <w:t>do things</w:t>
      </w:r>
      <w:r>
        <w:rPr>
          <w:sz w:val="24"/>
          <w:szCs w:val="24"/>
        </w:rPr>
        <w:t xml:space="preserve"> with our words. Language and deeds do not belong to separate worlds but are strictly connected. We describe what we do with language, but we also perform actions through what we say. </w:t>
      </w:r>
    </w:p>
    <w:p w14:paraId="45A94C45" w14:textId="77777777" w:rsidR="005C7D9A" w:rsidRDefault="00000000">
      <w:pPr>
        <w:spacing w:line="240" w:lineRule="auto"/>
        <w:rPr>
          <w:sz w:val="24"/>
          <w:szCs w:val="24"/>
        </w:rPr>
      </w:pPr>
      <w:r>
        <w:rPr>
          <w:sz w:val="24"/>
          <w:szCs w:val="24"/>
        </w:rPr>
        <w:t xml:space="preserve">A lively debate surrounds the question of how to address women that fulfil traditionally male roles and professions in Italian (2002; </w:t>
      </w:r>
      <w:proofErr w:type="spellStart"/>
      <w:r>
        <w:rPr>
          <w:sz w:val="24"/>
          <w:szCs w:val="24"/>
        </w:rPr>
        <w:t>Sapegno</w:t>
      </w:r>
      <w:proofErr w:type="spellEnd"/>
      <w:r>
        <w:rPr>
          <w:sz w:val="24"/>
          <w:szCs w:val="24"/>
        </w:rPr>
        <w:t xml:space="preserve"> 2010; Sulis and </w:t>
      </w:r>
      <w:proofErr w:type="spellStart"/>
      <w:r>
        <w:rPr>
          <w:sz w:val="24"/>
          <w:szCs w:val="24"/>
        </w:rPr>
        <w:t>Gheno</w:t>
      </w:r>
      <w:proofErr w:type="spellEnd"/>
      <w:r>
        <w:rPr>
          <w:sz w:val="24"/>
          <w:szCs w:val="24"/>
        </w:rPr>
        <w:t xml:space="preserve"> 2022). Many speakers, indeed, use masculine titles even for women in traditionally male roles, such as top echelon positions. The experimental evidence presented so far suggests that this practice might reinforce the idea that such positions are typically masculine, regardless of the actual gender proportions, and hinder the presence of women. This, in turn, can make it more difficult for women to fulfil these positions. Hence, the </w:t>
      </w:r>
      <w:proofErr w:type="gramStart"/>
      <w:r>
        <w:rPr>
          <w:sz w:val="24"/>
          <w:szCs w:val="24"/>
        </w:rPr>
        <w:t>aforementioned studies</w:t>
      </w:r>
      <w:proofErr w:type="gramEnd"/>
      <w:r>
        <w:rPr>
          <w:sz w:val="24"/>
          <w:szCs w:val="24"/>
        </w:rPr>
        <w:t xml:space="preserve"> on masculine terminology </w:t>
      </w:r>
      <w:r>
        <w:rPr>
          <w:sz w:val="24"/>
          <w:szCs w:val="24"/>
        </w:rPr>
        <w:lastRenderedPageBreak/>
        <w:t>provide good reasons to opt for feminine titles when discussing women. Moreover, this choice aligns with the general correspondence between the grammatical gender of an Italian term and its human referent’s gender: feminine words are used for female referents and masculine ones for males.</w:t>
      </w:r>
      <w:r>
        <w:rPr>
          <w:sz w:val="24"/>
          <w:szCs w:val="24"/>
          <w:vertAlign w:val="superscript"/>
        </w:rPr>
        <w:footnoteReference w:id="3"/>
      </w:r>
      <w:r>
        <w:rPr>
          <w:sz w:val="24"/>
          <w:szCs w:val="24"/>
        </w:rPr>
        <w:t xml:space="preserve"> The use of masculine nouns for, e.g., entrepreneurs, board members, and administrators would, instead, contrast with how Italian personal nouns generally work. Crucially, employing masculine titles for women, constituting a linguistic exception, is an asymmetric practice: men are always addressed with masculine terms, even if they fulfil traditionally feminine roles</w:t>
      </w:r>
      <w:r>
        <w:rPr>
          <w:sz w:val="24"/>
          <w:szCs w:val="24"/>
          <w:vertAlign w:val="superscript"/>
        </w:rPr>
        <w:footnoteReference w:id="4"/>
      </w:r>
      <w:r>
        <w:rPr>
          <w:sz w:val="24"/>
          <w:szCs w:val="24"/>
        </w:rPr>
        <w:t xml:space="preserve">. </w:t>
      </w:r>
    </w:p>
    <w:p w14:paraId="0ADFC6F4" w14:textId="77777777" w:rsidR="005C7D9A" w:rsidRDefault="00000000">
      <w:pPr>
        <w:keepNext/>
        <w:spacing w:line="240" w:lineRule="auto"/>
        <w:rPr>
          <w:sz w:val="24"/>
          <w:szCs w:val="24"/>
          <w:shd w:val="clear" w:color="auto" w:fill="C9DAF8"/>
        </w:rPr>
      </w:pPr>
      <w:r>
        <w:rPr>
          <w:sz w:val="24"/>
          <w:szCs w:val="24"/>
        </w:rPr>
        <w:t xml:space="preserve">Due to its asymmetric nature and troublesome psychological effects, using masculine terms for women is deemed problematic and counter advised by many scholars, activists, and institutions. The first milestone in the debate concerning gender in Italian is constituted by Alma Sabatini’s “Il </w:t>
      </w:r>
      <w:proofErr w:type="spellStart"/>
      <w:r>
        <w:rPr>
          <w:sz w:val="24"/>
          <w:szCs w:val="24"/>
        </w:rPr>
        <w:t>sessismo</w:t>
      </w:r>
      <w:proofErr w:type="spellEnd"/>
      <w:r>
        <w:rPr>
          <w:sz w:val="24"/>
          <w:szCs w:val="24"/>
        </w:rPr>
        <w:t xml:space="preserve"> </w:t>
      </w:r>
      <w:proofErr w:type="spellStart"/>
      <w:r>
        <w:rPr>
          <w:sz w:val="24"/>
          <w:szCs w:val="24"/>
        </w:rPr>
        <w:t>nella</w:t>
      </w:r>
      <w:proofErr w:type="spellEnd"/>
      <w:r>
        <w:rPr>
          <w:sz w:val="24"/>
          <w:szCs w:val="24"/>
        </w:rPr>
        <w:t xml:space="preserve"> lingua </w:t>
      </w:r>
      <w:proofErr w:type="spellStart"/>
      <w:r>
        <w:rPr>
          <w:sz w:val="24"/>
          <w:szCs w:val="24"/>
        </w:rPr>
        <w:t>italiana</w:t>
      </w:r>
      <w:proofErr w:type="spellEnd"/>
      <w:r>
        <w:rPr>
          <w:sz w:val="24"/>
          <w:szCs w:val="24"/>
        </w:rPr>
        <w:t>”, an investigation on sexist expressions in the press and job advertisements, commissioned by the Italian Government. The research was concluded by a list of suggestions on how to substitute sexist expressions directed to the press. Although Sabatini argued against the use of masculine terms for women 35 years ago, this usage is still widespread, especially in certain fields, and several other recommendations on the topic (</w:t>
      </w:r>
      <w:proofErr w:type="spellStart"/>
      <w:r>
        <w:rPr>
          <w:sz w:val="24"/>
          <w:szCs w:val="24"/>
        </w:rPr>
        <w:t>Robustelli</w:t>
      </w:r>
      <w:proofErr w:type="spellEnd"/>
      <w:r>
        <w:rPr>
          <w:sz w:val="24"/>
          <w:szCs w:val="24"/>
        </w:rPr>
        <w:t xml:space="preserve"> 2012; </w:t>
      </w:r>
      <w:proofErr w:type="spellStart"/>
      <w:r>
        <w:rPr>
          <w:sz w:val="24"/>
          <w:szCs w:val="24"/>
        </w:rPr>
        <w:t>Effequ</w:t>
      </w:r>
      <w:proofErr w:type="spellEnd"/>
      <w:r>
        <w:rPr>
          <w:sz w:val="24"/>
          <w:szCs w:val="24"/>
        </w:rPr>
        <w:t xml:space="preserve"> 2020, 2020; MIUR) have been issued and adopted by different public and private bodies. While the recommendations may greatly differ on other points, they all converge in suggesting </w:t>
      </w:r>
      <w:proofErr w:type="gramStart"/>
      <w:r>
        <w:rPr>
          <w:sz w:val="24"/>
          <w:szCs w:val="24"/>
        </w:rPr>
        <w:t>to use</w:t>
      </w:r>
      <w:proofErr w:type="gramEnd"/>
      <w:r>
        <w:rPr>
          <w:sz w:val="24"/>
          <w:szCs w:val="24"/>
        </w:rPr>
        <w:t xml:space="preserve"> feminine job titles for women professionals. </w:t>
      </w:r>
    </w:p>
    <w:p w14:paraId="45E02C32" w14:textId="77777777" w:rsidR="005C7D9A" w:rsidRDefault="00000000">
      <w:pPr>
        <w:keepNext/>
        <w:spacing w:line="240" w:lineRule="auto"/>
        <w:rPr>
          <w:sz w:val="24"/>
          <w:szCs w:val="24"/>
        </w:rPr>
      </w:pPr>
      <w:r>
        <w:rPr>
          <w:sz w:val="24"/>
          <w:szCs w:val="24"/>
        </w:rPr>
        <w:t xml:space="preserve">To sum up, feminine job titles are grammatically correct, better yet, they align with the general behavior of Italian personal nouns. Instead, the use of masculine forms to address women not only displays an unusual mismatch between a term and its referent’s gender, but is also asymmetric and elicits undesirable psychological effects, as shown by the various experiments mentioned above. Given this background, it might seem surprising that the use of feminine job titles is still widely resisted. </w:t>
      </w:r>
    </w:p>
    <w:p w14:paraId="440C64C9" w14:textId="77777777" w:rsidR="005C7D9A" w:rsidRDefault="00000000">
      <w:pPr>
        <w:keepNext/>
        <w:spacing w:line="240" w:lineRule="auto"/>
        <w:rPr>
          <w:sz w:val="24"/>
          <w:szCs w:val="24"/>
          <w:highlight w:val="yellow"/>
        </w:rPr>
      </w:pPr>
      <w:r>
        <w:rPr>
          <w:sz w:val="24"/>
          <w:szCs w:val="24"/>
        </w:rPr>
        <w:t>One of the reasons why many people hesitate to adopt feminine forms, for others or themselves, however, is that “[t]</w:t>
      </w:r>
      <w:proofErr w:type="spellStart"/>
      <w:r>
        <w:rPr>
          <w:sz w:val="24"/>
          <w:szCs w:val="24"/>
        </w:rPr>
        <w:t>erms</w:t>
      </w:r>
      <w:proofErr w:type="spellEnd"/>
      <w:r>
        <w:rPr>
          <w:sz w:val="24"/>
          <w:szCs w:val="24"/>
        </w:rPr>
        <w:t xml:space="preserve"> which refer to professions or contexts where women workers are in the majority tend to be </w:t>
      </w:r>
      <w:proofErr w:type="spellStart"/>
      <w:r>
        <w:rPr>
          <w:sz w:val="24"/>
          <w:szCs w:val="24"/>
        </w:rPr>
        <w:t>trivialised</w:t>
      </w:r>
      <w:proofErr w:type="spellEnd"/>
      <w:r>
        <w:rPr>
          <w:sz w:val="24"/>
          <w:szCs w:val="24"/>
        </w:rPr>
        <w:t xml:space="preserve"> and can have negative connotations'' (Mills 2008). A similar observation was made by Moulton 1981, which argued that masculine terms, in general, have higher positive associations than their feminine counterparts.</w:t>
      </w:r>
      <w:r>
        <w:rPr>
          <w:sz w:val="24"/>
          <w:szCs w:val="24"/>
          <w:vertAlign w:val="superscript"/>
        </w:rPr>
        <w:footnoteReference w:id="5"/>
      </w:r>
      <w:r>
        <w:rPr>
          <w:sz w:val="24"/>
          <w:szCs w:val="24"/>
        </w:rPr>
        <w:t xml:space="preserve"> For this reason, we believe it would be interesting to explore whether feminine job titles elicit negative reactions.</w:t>
      </w:r>
    </w:p>
    <w:p w14:paraId="2A835F11" w14:textId="77777777" w:rsidR="005C7D9A" w:rsidRDefault="00000000">
      <w:pPr>
        <w:keepNext/>
        <w:spacing w:line="240" w:lineRule="auto"/>
        <w:rPr>
          <w:sz w:val="24"/>
          <w:szCs w:val="24"/>
        </w:rPr>
      </w:pPr>
      <w:r>
        <w:rPr>
          <w:sz w:val="24"/>
          <w:szCs w:val="24"/>
        </w:rPr>
        <w:t xml:space="preserve">The present study investigates the extent to which feminine terms referring to top echelon positions are widespread and whether such terms elicit an emotionally laden attitude, either positively or negatively. This study analyzed the distribution of a reasoned sample of feminine titles for top echelon positions in Tweets written in Italian from 2006 to 2021. </w:t>
      </w:r>
      <w:r>
        <w:rPr>
          <w:sz w:val="24"/>
          <w:szCs w:val="24"/>
        </w:rPr>
        <w:lastRenderedPageBreak/>
        <w:t xml:space="preserve">Moreover, we added a naive benchmark evaluation using a sentiment analysis technique applied to the tweets, to investigate whether a polarized tone accompanied feminine job titles. </w:t>
      </w:r>
    </w:p>
    <w:p w14:paraId="0CE2E62C" w14:textId="77777777" w:rsidR="005C7D9A" w:rsidRDefault="00000000">
      <w:pPr>
        <w:pStyle w:val="Titolo1"/>
        <w:spacing w:line="360" w:lineRule="auto"/>
        <w:ind w:firstLine="0"/>
        <w:rPr>
          <w:b/>
          <w:sz w:val="24"/>
          <w:szCs w:val="24"/>
        </w:rPr>
      </w:pPr>
      <w:bookmarkStart w:id="1" w:name="_heading=h.30j0zll" w:colFirst="0" w:colLast="0"/>
      <w:bookmarkEnd w:id="1"/>
      <w:r>
        <w:rPr>
          <w:b/>
          <w:sz w:val="24"/>
          <w:szCs w:val="24"/>
        </w:rPr>
        <w:t>2. Feminine job titles</w:t>
      </w:r>
    </w:p>
    <w:p w14:paraId="77A4D509" w14:textId="77777777" w:rsidR="005C7D9A" w:rsidRDefault="00000000">
      <w:pPr>
        <w:keepNext/>
        <w:spacing w:line="240" w:lineRule="auto"/>
        <w:rPr>
          <w:sz w:val="24"/>
          <w:szCs w:val="24"/>
        </w:rPr>
      </w:pPr>
      <w:r>
        <w:rPr>
          <w:sz w:val="24"/>
          <w:szCs w:val="24"/>
        </w:rPr>
        <w:t xml:space="preserve">So far, we have argued that feminine job titles should be used to discuss women professionals (Lakoff 1973; Baxter 2010; </w:t>
      </w:r>
      <w:proofErr w:type="spellStart"/>
      <w:r>
        <w:rPr>
          <w:sz w:val="24"/>
          <w:szCs w:val="24"/>
        </w:rPr>
        <w:t>Correll</w:t>
      </w:r>
      <w:proofErr w:type="spellEnd"/>
      <w:r>
        <w:rPr>
          <w:sz w:val="24"/>
          <w:szCs w:val="24"/>
        </w:rPr>
        <w:t xml:space="preserve"> et al. 2020). On the practical side, though, one might wonder what </w:t>
      </w:r>
      <w:proofErr w:type="gramStart"/>
      <w:r>
        <w:rPr>
          <w:sz w:val="24"/>
          <w:szCs w:val="24"/>
        </w:rPr>
        <w:t>are those titles</w:t>
      </w:r>
      <w:proofErr w:type="gramEnd"/>
      <w:r>
        <w:rPr>
          <w:sz w:val="24"/>
          <w:szCs w:val="24"/>
        </w:rPr>
        <w:t xml:space="preserve"> and how they can be created for novel positions.</w:t>
      </w:r>
    </w:p>
    <w:p w14:paraId="098DBD2C" w14:textId="77777777" w:rsidR="005C7D9A" w:rsidRDefault="00000000">
      <w:pPr>
        <w:keepNext/>
        <w:spacing w:line="240" w:lineRule="auto"/>
        <w:rPr>
          <w:sz w:val="24"/>
          <w:szCs w:val="24"/>
        </w:rPr>
      </w:pPr>
      <w:r>
        <w:rPr>
          <w:sz w:val="24"/>
          <w:szCs w:val="24"/>
        </w:rPr>
        <w:t>In most cases, feminine titles are already present in the Italian lexicon. For instance, in Italian, the masculine noun “</w:t>
      </w:r>
      <w:proofErr w:type="spellStart"/>
      <w:r>
        <w:rPr>
          <w:sz w:val="24"/>
          <w:szCs w:val="24"/>
        </w:rPr>
        <w:t>segretario</w:t>
      </w:r>
      <w:proofErr w:type="spellEnd"/>
      <w:r>
        <w:rPr>
          <w:sz w:val="24"/>
          <w:szCs w:val="24"/>
        </w:rPr>
        <w:t xml:space="preserve">” means </w:t>
      </w:r>
      <w:r>
        <w:rPr>
          <w:i/>
          <w:sz w:val="24"/>
          <w:szCs w:val="24"/>
        </w:rPr>
        <w:t>party leader</w:t>
      </w:r>
      <w:r>
        <w:rPr>
          <w:sz w:val="24"/>
          <w:szCs w:val="24"/>
        </w:rPr>
        <w:t xml:space="preserve"> and </w:t>
      </w:r>
      <w:r>
        <w:rPr>
          <w:i/>
          <w:sz w:val="24"/>
          <w:szCs w:val="24"/>
        </w:rPr>
        <w:t>clerk</w:t>
      </w:r>
      <w:r>
        <w:rPr>
          <w:sz w:val="24"/>
          <w:szCs w:val="24"/>
        </w:rPr>
        <w:t>. Its grammatically feminine counterpart is “</w:t>
      </w:r>
      <w:proofErr w:type="spellStart"/>
      <w:r>
        <w:rPr>
          <w:sz w:val="24"/>
          <w:szCs w:val="24"/>
        </w:rPr>
        <w:t>segretaria</w:t>
      </w:r>
      <w:proofErr w:type="spellEnd"/>
      <w:r>
        <w:rPr>
          <w:sz w:val="24"/>
          <w:szCs w:val="24"/>
        </w:rPr>
        <w:t>” and it’s commonly used for designing female clerks. Hence, the feminine form “</w:t>
      </w:r>
      <w:proofErr w:type="spellStart"/>
      <w:r>
        <w:rPr>
          <w:sz w:val="24"/>
          <w:szCs w:val="24"/>
        </w:rPr>
        <w:t>segretaria</w:t>
      </w:r>
      <w:proofErr w:type="spellEnd"/>
      <w:r>
        <w:rPr>
          <w:sz w:val="24"/>
          <w:szCs w:val="24"/>
        </w:rPr>
        <w:t>” is frequent. Yet, many speakers do not readily use it for female party leaders: it is only usual for designing female clerks, but not for female party leaders. So, “</w:t>
      </w:r>
      <w:proofErr w:type="spellStart"/>
      <w:r>
        <w:rPr>
          <w:sz w:val="24"/>
          <w:szCs w:val="24"/>
        </w:rPr>
        <w:t>segretaria</w:t>
      </w:r>
      <w:proofErr w:type="spellEnd"/>
      <w:r>
        <w:rPr>
          <w:sz w:val="24"/>
          <w:szCs w:val="24"/>
        </w:rPr>
        <w:t>” is the counterpart of “</w:t>
      </w:r>
      <w:proofErr w:type="spellStart"/>
      <w:r>
        <w:rPr>
          <w:sz w:val="24"/>
          <w:szCs w:val="24"/>
        </w:rPr>
        <w:t>segretario</w:t>
      </w:r>
      <w:proofErr w:type="spellEnd"/>
      <w:r>
        <w:rPr>
          <w:sz w:val="24"/>
          <w:szCs w:val="24"/>
        </w:rPr>
        <w:t xml:space="preserve">” only on a grammatical </w:t>
      </w:r>
      <w:proofErr w:type="gramStart"/>
      <w:r>
        <w:rPr>
          <w:sz w:val="24"/>
          <w:szCs w:val="24"/>
        </w:rPr>
        <w:t>level, but</w:t>
      </w:r>
      <w:proofErr w:type="gramEnd"/>
      <w:r>
        <w:rPr>
          <w:sz w:val="24"/>
          <w:szCs w:val="24"/>
        </w:rPr>
        <w:t xml:space="preserve"> differs in collocation and meaning. The same occurs with “maestro”, which means both </w:t>
      </w:r>
      <w:r>
        <w:rPr>
          <w:i/>
          <w:sz w:val="24"/>
          <w:szCs w:val="24"/>
        </w:rPr>
        <w:t>conductor</w:t>
      </w:r>
      <w:r>
        <w:rPr>
          <w:sz w:val="24"/>
          <w:szCs w:val="24"/>
        </w:rPr>
        <w:t xml:space="preserve"> and </w:t>
      </w:r>
      <w:r>
        <w:rPr>
          <w:i/>
          <w:sz w:val="24"/>
          <w:szCs w:val="24"/>
        </w:rPr>
        <w:t>schoolteacher</w:t>
      </w:r>
      <w:r>
        <w:rPr>
          <w:sz w:val="24"/>
          <w:szCs w:val="24"/>
        </w:rPr>
        <w:t xml:space="preserve">, but </w:t>
      </w:r>
      <w:proofErr w:type="gramStart"/>
      <w:r>
        <w:rPr>
          <w:sz w:val="24"/>
          <w:szCs w:val="24"/>
        </w:rPr>
        <w:t>whose</w:t>
      </w:r>
      <w:proofErr w:type="gramEnd"/>
      <w:r>
        <w:rPr>
          <w:sz w:val="24"/>
          <w:szCs w:val="24"/>
        </w:rPr>
        <w:t xml:space="preserve"> feminine “</w:t>
      </w:r>
      <w:proofErr w:type="spellStart"/>
      <w:r>
        <w:rPr>
          <w:sz w:val="24"/>
          <w:szCs w:val="24"/>
        </w:rPr>
        <w:t>maestra</w:t>
      </w:r>
      <w:proofErr w:type="spellEnd"/>
      <w:r>
        <w:rPr>
          <w:sz w:val="24"/>
          <w:szCs w:val="24"/>
        </w:rPr>
        <w:t xml:space="preserve">” is used in the first sense only. In cases like these, we have the feminine form, which is regularly employed in one sense. Therefore, to correctly address female party leaders and conductors is enough to use the available term. </w:t>
      </w:r>
    </w:p>
    <w:p w14:paraId="1D9F010D" w14:textId="77777777" w:rsidR="005C7D9A" w:rsidRDefault="00000000">
      <w:pPr>
        <w:keepNext/>
        <w:spacing w:line="240" w:lineRule="auto"/>
        <w:rPr>
          <w:sz w:val="24"/>
          <w:szCs w:val="24"/>
        </w:rPr>
      </w:pPr>
      <w:r>
        <w:rPr>
          <w:sz w:val="24"/>
          <w:szCs w:val="24"/>
        </w:rPr>
        <w:t xml:space="preserve">Sometimes, the feminine form of a job title is not common at </w:t>
      </w:r>
      <w:proofErr w:type="gramStart"/>
      <w:r>
        <w:rPr>
          <w:sz w:val="24"/>
          <w:szCs w:val="24"/>
        </w:rPr>
        <w:t>all</w:t>
      </w:r>
      <w:proofErr w:type="gramEnd"/>
      <w:r>
        <w:rPr>
          <w:sz w:val="24"/>
          <w:szCs w:val="24"/>
        </w:rPr>
        <w:t xml:space="preserve"> and some speakers may have never heard it and might be unclear about the correct form. For instance, many people falter when speaking about a female engineer or physician, and no option seems right. Yet in other cases, multiple forms are employed. For example, both “</w:t>
      </w:r>
      <w:proofErr w:type="spellStart"/>
      <w:r>
        <w:rPr>
          <w:sz w:val="24"/>
          <w:szCs w:val="24"/>
        </w:rPr>
        <w:t>avvocata</w:t>
      </w:r>
      <w:proofErr w:type="spellEnd"/>
      <w:r>
        <w:rPr>
          <w:sz w:val="24"/>
          <w:szCs w:val="24"/>
        </w:rPr>
        <w:t>” and “</w:t>
      </w:r>
      <w:proofErr w:type="spellStart"/>
      <w:r>
        <w:rPr>
          <w:sz w:val="24"/>
          <w:szCs w:val="24"/>
        </w:rPr>
        <w:t>avvocatessa</w:t>
      </w:r>
      <w:proofErr w:type="spellEnd"/>
      <w:r>
        <w:rPr>
          <w:sz w:val="24"/>
          <w:szCs w:val="24"/>
        </w:rPr>
        <w:t xml:space="preserve">” (lawyer) are used, as documented by </w:t>
      </w:r>
      <w:proofErr w:type="spellStart"/>
      <w:r>
        <w:rPr>
          <w:sz w:val="24"/>
          <w:szCs w:val="24"/>
        </w:rPr>
        <w:t>Cignarella</w:t>
      </w:r>
      <w:proofErr w:type="spellEnd"/>
      <w:r>
        <w:rPr>
          <w:sz w:val="24"/>
          <w:szCs w:val="24"/>
        </w:rPr>
        <w:t xml:space="preserve"> et al. 2021. The same happens for other feminine job titles, such as “</w:t>
      </w:r>
      <w:proofErr w:type="spellStart"/>
      <w:r>
        <w:rPr>
          <w:sz w:val="24"/>
          <w:szCs w:val="24"/>
        </w:rPr>
        <w:t>presidente</w:t>
      </w:r>
      <w:proofErr w:type="spellEnd"/>
      <w:r>
        <w:rPr>
          <w:sz w:val="24"/>
          <w:szCs w:val="24"/>
        </w:rPr>
        <w:t>”</w:t>
      </w:r>
      <w:proofErr w:type="gramStart"/>
      <w:r>
        <w:rPr>
          <w:sz w:val="24"/>
          <w:szCs w:val="24"/>
        </w:rPr>
        <w:t>/“</w:t>
      </w:r>
      <w:proofErr w:type="spellStart"/>
      <w:proofErr w:type="gramEnd"/>
      <w:r>
        <w:rPr>
          <w:sz w:val="24"/>
          <w:szCs w:val="24"/>
        </w:rPr>
        <w:t>presidentessa</w:t>
      </w:r>
      <w:proofErr w:type="spellEnd"/>
      <w:r>
        <w:rPr>
          <w:sz w:val="24"/>
          <w:szCs w:val="24"/>
        </w:rPr>
        <w:t>” (president). In all these cases, as explained in the recommendations mentioned above, the speaker should simply appeal to the standard morphological rules for deriving a feminine term from a masculine one.</w:t>
      </w:r>
      <w:r>
        <w:rPr>
          <w:sz w:val="24"/>
          <w:szCs w:val="24"/>
          <w:vertAlign w:val="superscript"/>
        </w:rPr>
        <w:footnoteReference w:id="6"/>
      </w:r>
      <w:r>
        <w:rPr>
          <w:sz w:val="24"/>
          <w:szCs w:val="24"/>
        </w:rPr>
        <w:t xml:space="preserve"> Indeed, languages are equipped with productive rules, that allow speakers to produce new words when needed. The rules for deriving the feminine term are such: their usefulness is precisely to form a novel feminine word from an existing masculine one to accommodate the need for such a term, that arises, for instance, when a woman fulfils for the first time a role that up until that point has been a male prerogative. So, using these rules, a speaker can produce the feminine form of any masculine word. </w:t>
      </w:r>
    </w:p>
    <w:p w14:paraId="77F80ECF" w14:textId="77777777" w:rsidR="005C7D9A" w:rsidRDefault="00000000">
      <w:pPr>
        <w:keepNext/>
        <w:spacing w:line="240" w:lineRule="auto"/>
        <w:rPr>
          <w:sz w:val="24"/>
          <w:szCs w:val="24"/>
        </w:rPr>
      </w:pPr>
      <w:r>
        <w:rPr>
          <w:sz w:val="24"/>
          <w:szCs w:val="24"/>
        </w:rPr>
        <w:t>Most Italian nouns end in “-o” in the masculine and “-a” in the feminine. Some examples are “</w:t>
      </w:r>
      <w:proofErr w:type="spellStart"/>
      <w:r>
        <w:rPr>
          <w:sz w:val="24"/>
          <w:szCs w:val="24"/>
        </w:rPr>
        <w:t>vicin</w:t>
      </w:r>
      <w:r>
        <w:rPr>
          <w:b/>
          <w:sz w:val="24"/>
          <w:szCs w:val="24"/>
        </w:rPr>
        <w:t>o</w:t>
      </w:r>
      <w:proofErr w:type="spellEnd"/>
      <w:r>
        <w:rPr>
          <w:sz w:val="24"/>
          <w:szCs w:val="24"/>
        </w:rPr>
        <w:t>”</w:t>
      </w:r>
      <w:proofErr w:type="gramStart"/>
      <w:r>
        <w:rPr>
          <w:sz w:val="24"/>
          <w:szCs w:val="24"/>
        </w:rPr>
        <w:t>/“</w:t>
      </w:r>
      <w:proofErr w:type="spellStart"/>
      <w:proofErr w:type="gramEnd"/>
      <w:r>
        <w:rPr>
          <w:sz w:val="24"/>
          <w:szCs w:val="24"/>
        </w:rPr>
        <w:t>vicin</w:t>
      </w:r>
      <w:r>
        <w:rPr>
          <w:b/>
          <w:sz w:val="24"/>
          <w:szCs w:val="24"/>
        </w:rPr>
        <w:t>a</w:t>
      </w:r>
      <w:proofErr w:type="spellEnd"/>
      <w:r>
        <w:rPr>
          <w:sz w:val="24"/>
          <w:szCs w:val="24"/>
        </w:rPr>
        <w:t>” (neighbor), “bambin</w:t>
      </w:r>
      <w:r>
        <w:rPr>
          <w:b/>
          <w:sz w:val="24"/>
          <w:szCs w:val="24"/>
        </w:rPr>
        <w:t>o</w:t>
      </w:r>
      <w:r>
        <w:rPr>
          <w:sz w:val="24"/>
          <w:szCs w:val="24"/>
        </w:rPr>
        <w:t>”/“bambin</w:t>
      </w:r>
      <w:r>
        <w:rPr>
          <w:b/>
          <w:sz w:val="24"/>
          <w:szCs w:val="24"/>
        </w:rPr>
        <w:t>a</w:t>
      </w:r>
      <w:r>
        <w:rPr>
          <w:sz w:val="24"/>
          <w:szCs w:val="24"/>
        </w:rPr>
        <w:t>” (child), “</w:t>
      </w:r>
      <w:proofErr w:type="spellStart"/>
      <w:r>
        <w:rPr>
          <w:sz w:val="24"/>
          <w:szCs w:val="24"/>
        </w:rPr>
        <w:t>amic</w:t>
      </w:r>
      <w:r>
        <w:rPr>
          <w:b/>
          <w:sz w:val="24"/>
          <w:szCs w:val="24"/>
        </w:rPr>
        <w:t>o</w:t>
      </w:r>
      <w:proofErr w:type="spellEnd"/>
      <w:r>
        <w:rPr>
          <w:sz w:val="24"/>
          <w:szCs w:val="24"/>
        </w:rPr>
        <w:t>”/“</w:t>
      </w:r>
      <w:proofErr w:type="spellStart"/>
      <w:r>
        <w:rPr>
          <w:sz w:val="24"/>
          <w:szCs w:val="24"/>
        </w:rPr>
        <w:t>amic</w:t>
      </w:r>
      <w:r>
        <w:rPr>
          <w:b/>
          <w:sz w:val="24"/>
          <w:szCs w:val="24"/>
        </w:rPr>
        <w:t>a</w:t>
      </w:r>
      <w:proofErr w:type="spellEnd"/>
      <w:r>
        <w:rPr>
          <w:sz w:val="24"/>
          <w:szCs w:val="24"/>
        </w:rPr>
        <w:t>” (friend), and so on. Thus, since the masculine “</w:t>
      </w:r>
      <w:proofErr w:type="spellStart"/>
      <w:r>
        <w:rPr>
          <w:sz w:val="24"/>
          <w:szCs w:val="24"/>
        </w:rPr>
        <w:t>avvocat</w:t>
      </w:r>
      <w:r>
        <w:rPr>
          <w:b/>
          <w:sz w:val="24"/>
          <w:szCs w:val="24"/>
        </w:rPr>
        <w:t>o</w:t>
      </w:r>
      <w:proofErr w:type="spellEnd"/>
      <w:r>
        <w:rPr>
          <w:sz w:val="24"/>
          <w:szCs w:val="24"/>
        </w:rPr>
        <w:t>” (lawyer) ends with “-o”, its feminine counterpart would end with “-a”: the correct form is “</w:t>
      </w:r>
      <w:proofErr w:type="spellStart"/>
      <w:r>
        <w:rPr>
          <w:sz w:val="24"/>
          <w:szCs w:val="24"/>
        </w:rPr>
        <w:t>avvocat</w:t>
      </w:r>
      <w:r>
        <w:rPr>
          <w:b/>
          <w:sz w:val="24"/>
          <w:szCs w:val="24"/>
        </w:rPr>
        <w:t>a</w:t>
      </w:r>
      <w:proofErr w:type="spellEnd"/>
      <w:r>
        <w:rPr>
          <w:sz w:val="24"/>
          <w:szCs w:val="24"/>
        </w:rPr>
        <w:t>”, rather than “</w:t>
      </w:r>
      <w:proofErr w:type="spellStart"/>
      <w:r>
        <w:rPr>
          <w:sz w:val="24"/>
          <w:szCs w:val="24"/>
        </w:rPr>
        <w:t>avvocat</w:t>
      </w:r>
      <w:r>
        <w:rPr>
          <w:b/>
          <w:sz w:val="24"/>
          <w:szCs w:val="24"/>
        </w:rPr>
        <w:t>essa</w:t>
      </w:r>
      <w:proofErr w:type="spellEnd"/>
      <w:r>
        <w:rPr>
          <w:sz w:val="24"/>
          <w:szCs w:val="24"/>
        </w:rPr>
        <w:t>” (importantly, moreover, “-</w:t>
      </w:r>
      <w:proofErr w:type="spellStart"/>
      <w:r>
        <w:rPr>
          <w:sz w:val="24"/>
          <w:szCs w:val="24"/>
        </w:rPr>
        <w:t>essa</w:t>
      </w:r>
      <w:proofErr w:type="spellEnd"/>
      <w:r>
        <w:rPr>
          <w:sz w:val="24"/>
          <w:szCs w:val="24"/>
        </w:rPr>
        <w:t>” should be avoided because of its original meaning and derogatory connotation). Similarly, the feminine form of “medic</w:t>
      </w:r>
      <w:r>
        <w:rPr>
          <w:b/>
          <w:sz w:val="24"/>
          <w:szCs w:val="24"/>
        </w:rPr>
        <w:t>o</w:t>
      </w:r>
      <w:r>
        <w:rPr>
          <w:sz w:val="24"/>
          <w:szCs w:val="24"/>
        </w:rPr>
        <w:t>” (physician) is “medic</w:t>
      </w:r>
      <w:r>
        <w:rPr>
          <w:b/>
          <w:sz w:val="24"/>
          <w:szCs w:val="24"/>
        </w:rPr>
        <w:t>o</w:t>
      </w:r>
      <w:r>
        <w:rPr>
          <w:sz w:val="24"/>
          <w:szCs w:val="24"/>
        </w:rPr>
        <w:t>”. Other words, such as “</w:t>
      </w:r>
      <w:proofErr w:type="spellStart"/>
      <w:r>
        <w:rPr>
          <w:sz w:val="24"/>
          <w:szCs w:val="24"/>
        </w:rPr>
        <w:t>let</w:t>
      </w:r>
      <w:r>
        <w:rPr>
          <w:b/>
          <w:sz w:val="24"/>
          <w:szCs w:val="24"/>
        </w:rPr>
        <w:t>tore</w:t>
      </w:r>
      <w:proofErr w:type="spellEnd"/>
      <w:r>
        <w:rPr>
          <w:sz w:val="24"/>
          <w:szCs w:val="24"/>
        </w:rPr>
        <w:t>”</w:t>
      </w:r>
      <w:proofErr w:type="gramStart"/>
      <w:r>
        <w:rPr>
          <w:sz w:val="24"/>
          <w:szCs w:val="24"/>
        </w:rPr>
        <w:t>/“</w:t>
      </w:r>
      <w:proofErr w:type="spellStart"/>
      <w:proofErr w:type="gramEnd"/>
      <w:r>
        <w:rPr>
          <w:sz w:val="24"/>
          <w:szCs w:val="24"/>
        </w:rPr>
        <w:t>let</w:t>
      </w:r>
      <w:r>
        <w:rPr>
          <w:b/>
          <w:sz w:val="24"/>
          <w:szCs w:val="24"/>
        </w:rPr>
        <w:t>trice</w:t>
      </w:r>
      <w:proofErr w:type="spellEnd"/>
      <w:r>
        <w:rPr>
          <w:sz w:val="24"/>
          <w:szCs w:val="24"/>
        </w:rPr>
        <w:t>” (reader) or “</w:t>
      </w:r>
      <w:proofErr w:type="spellStart"/>
      <w:r>
        <w:rPr>
          <w:sz w:val="24"/>
          <w:szCs w:val="24"/>
        </w:rPr>
        <w:t>at</w:t>
      </w:r>
      <w:r>
        <w:rPr>
          <w:b/>
          <w:sz w:val="24"/>
          <w:szCs w:val="24"/>
        </w:rPr>
        <w:t>tore</w:t>
      </w:r>
      <w:proofErr w:type="spellEnd"/>
      <w:r>
        <w:rPr>
          <w:sz w:val="24"/>
          <w:szCs w:val="24"/>
        </w:rPr>
        <w:t>”/“</w:t>
      </w:r>
      <w:proofErr w:type="spellStart"/>
      <w:r>
        <w:rPr>
          <w:sz w:val="24"/>
          <w:szCs w:val="24"/>
        </w:rPr>
        <w:t>at</w:t>
      </w:r>
      <w:r>
        <w:rPr>
          <w:b/>
          <w:sz w:val="24"/>
          <w:szCs w:val="24"/>
        </w:rPr>
        <w:t>trice</w:t>
      </w:r>
      <w:proofErr w:type="spellEnd"/>
      <w:r>
        <w:rPr>
          <w:sz w:val="24"/>
          <w:szCs w:val="24"/>
        </w:rPr>
        <w:t>” (actor), end in “-tore” in the masculine and in “-trice” in the feminine. Following this rule, we know that the correct form to talk about a woman administrator is “</w:t>
      </w:r>
      <w:proofErr w:type="spellStart"/>
      <w:r>
        <w:rPr>
          <w:sz w:val="24"/>
          <w:szCs w:val="24"/>
        </w:rPr>
        <w:t>amministra</w:t>
      </w:r>
      <w:r>
        <w:rPr>
          <w:b/>
          <w:sz w:val="24"/>
          <w:szCs w:val="24"/>
        </w:rPr>
        <w:t>trice</w:t>
      </w:r>
      <w:proofErr w:type="spellEnd"/>
      <w:r>
        <w:rPr>
          <w:sz w:val="24"/>
          <w:szCs w:val="24"/>
        </w:rPr>
        <w:t>”, its masculine counterpart being “</w:t>
      </w:r>
      <w:proofErr w:type="spellStart"/>
      <w:r>
        <w:rPr>
          <w:sz w:val="24"/>
          <w:szCs w:val="24"/>
        </w:rPr>
        <w:t>amministra</w:t>
      </w:r>
      <w:r>
        <w:rPr>
          <w:b/>
          <w:sz w:val="24"/>
          <w:szCs w:val="24"/>
        </w:rPr>
        <w:t>tore</w:t>
      </w:r>
      <w:proofErr w:type="spellEnd"/>
      <w:r>
        <w:rPr>
          <w:sz w:val="24"/>
          <w:szCs w:val="24"/>
        </w:rPr>
        <w:t>”. By the same token, a woman director is “</w:t>
      </w:r>
      <w:proofErr w:type="spellStart"/>
      <w:r>
        <w:rPr>
          <w:sz w:val="24"/>
          <w:szCs w:val="24"/>
        </w:rPr>
        <w:t>diret</w:t>
      </w:r>
      <w:r>
        <w:rPr>
          <w:b/>
          <w:sz w:val="24"/>
          <w:szCs w:val="24"/>
        </w:rPr>
        <w:t>trice</w:t>
      </w:r>
      <w:proofErr w:type="spellEnd"/>
      <w:r>
        <w:rPr>
          <w:sz w:val="24"/>
          <w:szCs w:val="24"/>
        </w:rPr>
        <w:t xml:space="preserve">” and a woman </w:t>
      </w:r>
      <w:proofErr w:type="spellStart"/>
      <w:r>
        <w:rPr>
          <w:sz w:val="24"/>
          <w:szCs w:val="24"/>
        </w:rPr>
        <w:t>enterpreneur</w:t>
      </w:r>
      <w:proofErr w:type="spellEnd"/>
      <w:r>
        <w:rPr>
          <w:sz w:val="24"/>
          <w:szCs w:val="24"/>
        </w:rPr>
        <w:t xml:space="preserve"> is “</w:t>
      </w:r>
      <w:proofErr w:type="spellStart"/>
      <w:r>
        <w:rPr>
          <w:sz w:val="24"/>
          <w:szCs w:val="24"/>
        </w:rPr>
        <w:t>imprendi</w:t>
      </w:r>
      <w:r>
        <w:rPr>
          <w:b/>
          <w:sz w:val="24"/>
          <w:szCs w:val="24"/>
        </w:rPr>
        <w:t>trice</w:t>
      </w:r>
      <w:proofErr w:type="spellEnd"/>
      <w:r>
        <w:rPr>
          <w:sz w:val="24"/>
          <w:szCs w:val="24"/>
        </w:rPr>
        <w:t>”, whose masculine counterparts are, respectively, “</w:t>
      </w:r>
      <w:proofErr w:type="spellStart"/>
      <w:r>
        <w:rPr>
          <w:sz w:val="24"/>
          <w:szCs w:val="24"/>
        </w:rPr>
        <w:t>diret</w:t>
      </w:r>
      <w:r>
        <w:rPr>
          <w:b/>
          <w:sz w:val="24"/>
          <w:szCs w:val="24"/>
        </w:rPr>
        <w:t>tore</w:t>
      </w:r>
      <w:proofErr w:type="spellEnd"/>
      <w:r>
        <w:rPr>
          <w:sz w:val="24"/>
          <w:szCs w:val="24"/>
        </w:rPr>
        <w:t xml:space="preserve">” </w:t>
      </w:r>
      <w:r>
        <w:rPr>
          <w:sz w:val="24"/>
          <w:szCs w:val="24"/>
        </w:rPr>
        <w:lastRenderedPageBreak/>
        <w:t>and “</w:t>
      </w:r>
      <w:proofErr w:type="spellStart"/>
      <w:r>
        <w:rPr>
          <w:sz w:val="24"/>
          <w:szCs w:val="24"/>
        </w:rPr>
        <w:t>imprendi</w:t>
      </w:r>
      <w:r>
        <w:rPr>
          <w:b/>
          <w:sz w:val="24"/>
          <w:szCs w:val="24"/>
        </w:rPr>
        <w:t>tore</w:t>
      </w:r>
      <w:proofErr w:type="spellEnd"/>
      <w:r>
        <w:rPr>
          <w:sz w:val="24"/>
          <w:szCs w:val="24"/>
        </w:rPr>
        <w:t>”. Still other words end in “-ere” in the masculine and in “-era” in the feminine. Examples of these are “</w:t>
      </w:r>
      <w:proofErr w:type="spellStart"/>
      <w:r>
        <w:rPr>
          <w:sz w:val="24"/>
          <w:szCs w:val="24"/>
        </w:rPr>
        <w:t>parrucchi</w:t>
      </w:r>
      <w:r>
        <w:rPr>
          <w:b/>
          <w:sz w:val="24"/>
          <w:szCs w:val="24"/>
        </w:rPr>
        <w:t>ere</w:t>
      </w:r>
      <w:proofErr w:type="spellEnd"/>
      <w:r>
        <w:rPr>
          <w:sz w:val="24"/>
          <w:szCs w:val="24"/>
        </w:rPr>
        <w:t>”</w:t>
      </w:r>
      <w:proofErr w:type="gramStart"/>
      <w:r>
        <w:rPr>
          <w:sz w:val="24"/>
          <w:szCs w:val="24"/>
        </w:rPr>
        <w:t>/“</w:t>
      </w:r>
      <w:proofErr w:type="spellStart"/>
      <w:proofErr w:type="gramEnd"/>
      <w:r>
        <w:rPr>
          <w:sz w:val="24"/>
          <w:szCs w:val="24"/>
        </w:rPr>
        <w:t>parrucchi</w:t>
      </w:r>
      <w:r>
        <w:rPr>
          <w:b/>
          <w:sz w:val="24"/>
          <w:szCs w:val="24"/>
        </w:rPr>
        <w:t>era</w:t>
      </w:r>
      <w:proofErr w:type="spellEnd"/>
      <w:r>
        <w:rPr>
          <w:sz w:val="24"/>
          <w:szCs w:val="24"/>
        </w:rPr>
        <w:t>” (hairdresser) or “</w:t>
      </w:r>
      <w:proofErr w:type="spellStart"/>
      <w:r>
        <w:rPr>
          <w:sz w:val="24"/>
          <w:szCs w:val="24"/>
        </w:rPr>
        <w:t>infermi</w:t>
      </w:r>
      <w:r>
        <w:rPr>
          <w:b/>
          <w:sz w:val="24"/>
          <w:szCs w:val="24"/>
        </w:rPr>
        <w:t>ere</w:t>
      </w:r>
      <w:proofErr w:type="spellEnd"/>
      <w:r>
        <w:rPr>
          <w:sz w:val="24"/>
          <w:szCs w:val="24"/>
        </w:rPr>
        <w:t>”/“</w:t>
      </w:r>
      <w:proofErr w:type="spellStart"/>
      <w:r>
        <w:rPr>
          <w:sz w:val="24"/>
          <w:szCs w:val="24"/>
        </w:rPr>
        <w:t>infermi</w:t>
      </w:r>
      <w:r>
        <w:rPr>
          <w:b/>
          <w:sz w:val="24"/>
          <w:szCs w:val="24"/>
        </w:rPr>
        <w:t>era</w:t>
      </w:r>
      <w:proofErr w:type="spellEnd"/>
      <w:r>
        <w:rPr>
          <w:sz w:val="24"/>
          <w:szCs w:val="24"/>
        </w:rPr>
        <w:t>” (nurse). Given that the Italian word for a male engineer is “</w:t>
      </w:r>
      <w:proofErr w:type="spellStart"/>
      <w:r>
        <w:rPr>
          <w:sz w:val="24"/>
          <w:szCs w:val="24"/>
        </w:rPr>
        <w:t>ingegn</w:t>
      </w:r>
      <w:r>
        <w:rPr>
          <w:b/>
          <w:sz w:val="24"/>
          <w:szCs w:val="24"/>
        </w:rPr>
        <w:t>ere</w:t>
      </w:r>
      <w:proofErr w:type="spellEnd"/>
      <w:r>
        <w:rPr>
          <w:sz w:val="24"/>
          <w:szCs w:val="24"/>
        </w:rPr>
        <w:t>”, the corresponding one for a woman carrying out the same job is “</w:t>
      </w:r>
      <w:proofErr w:type="spellStart"/>
      <w:r>
        <w:rPr>
          <w:sz w:val="24"/>
          <w:szCs w:val="24"/>
        </w:rPr>
        <w:t>ingegn</w:t>
      </w:r>
      <w:r>
        <w:rPr>
          <w:b/>
          <w:sz w:val="24"/>
          <w:szCs w:val="24"/>
        </w:rPr>
        <w:t>era</w:t>
      </w:r>
      <w:proofErr w:type="spellEnd"/>
      <w:r>
        <w:rPr>
          <w:sz w:val="24"/>
          <w:szCs w:val="24"/>
        </w:rPr>
        <w:t>”. The nouns that end with “-</w:t>
      </w:r>
      <w:proofErr w:type="spellStart"/>
      <w:r>
        <w:rPr>
          <w:sz w:val="24"/>
          <w:szCs w:val="24"/>
        </w:rPr>
        <w:t>ente</w:t>
      </w:r>
      <w:proofErr w:type="spellEnd"/>
      <w:r>
        <w:rPr>
          <w:sz w:val="24"/>
          <w:szCs w:val="24"/>
        </w:rPr>
        <w:t>” or “-ante”, instead, are invariable for gender. For example, “</w:t>
      </w:r>
      <w:proofErr w:type="spellStart"/>
      <w:r>
        <w:rPr>
          <w:sz w:val="24"/>
          <w:szCs w:val="24"/>
        </w:rPr>
        <w:t>doc</w:t>
      </w:r>
      <w:r>
        <w:rPr>
          <w:b/>
          <w:sz w:val="24"/>
          <w:szCs w:val="24"/>
        </w:rPr>
        <w:t>ente</w:t>
      </w:r>
      <w:proofErr w:type="spellEnd"/>
      <w:r>
        <w:rPr>
          <w:sz w:val="24"/>
          <w:szCs w:val="24"/>
        </w:rPr>
        <w:t>” (teacher) and “cant</w:t>
      </w:r>
      <w:r>
        <w:rPr>
          <w:b/>
          <w:sz w:val="24"/>
          <w:szCs w:val="24"/>
        </w:rPr>
        <w:t>ante</w:t>
      </w:r>
      <w:r>
        <w:rPr>
          <w:sz w:val="24"/>
          <w:szCs w:val="24"/>
        </w:rPr>
        <w:t>” have the same form both when referring to a man and to a woman and all that changes are articles and adjectives that agree with the noun, as shows in “</w:t>
      </w:r>
      <w:r>
        <w:rPr>
          <w:b/>
          <w:sz w:val="24"/>
          <w:szCs w:val="24"/>
        </w:rPr>
        <w:t>il</w:t>
      </w:r>
      <w:r>
        <w:rPr>
          <w:sz w:val="24"/>
          <w:szCs w:val="24"/>
        </w:rPr>
        <w:t xml:space="preserve"> brav</w:t>
      </w:r>
      <w:r>
        <w:rPr>
          <w:b/>
          <w:sz w:val="24"/>
          <w:szCs w:val="24"/>
        </w:rPr>
        <w:t>o</w:t>
      </w:r>
      <w:r>
        <w:rPr>
          <w:sz w:val="24"/>
          <w:szCs w:val="24"/>
        </w:rPr>
        <w:t xml:space="preserve"> </w:t>
      </w:r>
      <w:proofErr w:type="spellStart"/>
      <w:r>
        <w:rPr>
          <w:sz w:val="24"/>
          <w:szCs w:val="24"/>
        </w:rPr>
        <w:t>docente</w:t>
      </w:r>
      <w:proofErr w:type="spellEnd"/>
      <w:r>
        <w:rPr>
          <w:sz w:val="24"/>
          <w:szCs w:val="24"/>
        </w:rPr>
        <w:t>”</w:t>
      </w:r>
      <w:proofErr w:type="gramStart"/>
      <w:r>
        <w:rPr>
          <w:sz w:val="24"/>
          <w:szCs w:val="24"/>
        </w:rPr>
        <w:t>/“</w:t>
      </w:r>
      <w:proofErr w:type="gramEnd"/>
      <w:r>
        <w:rPr>
          <w:b/>
          <w:sz w:val="24"/>
          <w:szCs w:val="24"/>
        </w:rPr>
        <w:t>la</w:t>
      </w:r>
      <w:r>
        <w:rPr>
          <w:sz w:val="24"/>
          <w:szCs w:val="24"/>
        </w:rPr>
        <w:t xml:space="preserve"> brav</w:t>
      </w:r>
      <w:r>
        <w:rPr>
          <w:b/>
          <w:sz w:val="24"/>
          <w:szCs w:val="24"/>
        </w:rPr>
        <w:t>a</w:t>
      </w:r>
      <w:r>
        <w:rPr>
          <w:sz w:val="24"/>
          <w:szCs w:val="24"/>
        </w:rPr>
        <w:t xml:space="preserve"> </w:t>
      </w:r>
      <w:proofErr w:type="spellStart"/>
      <w:r>
        <w:rPr>
          <w:sz w:val="24"/>
          <w:szCs w:val="24"/>
        </w:rPr>
        <w:t>docente</w:t>
      </w:r>
      <w:proofErr w:type="spellEnd"/>
      <w:r>
        <w:rPr>
          <w:sz w:val="24"/>
          <w:szCs w:val="24"/>
        </w:rPr>
        <w:t>” (a good teacher). “</w:t>
      </w:r>
      <w:proofErr w:type="spellStart"/>
      <w:r>
        <w:rPr>
          <w:sz w:val="24"/>
          <w:szCs w:val="24"/>
        </w:rPr>
        <w:t>Presid</w:t>
      </w:r>
      <w:r>
        <w:rPr>
          <w:b/>
          <w:sz w:val="24"/>
          <w:szCs w:val="24"/>
        </w:rPr>
        <w:t>ente</w:t>
      </w:r>
      <w:proofErr w:type="spellEnd"/>
      <w:r>
        <w:rPr>
          <w:sz w:val="24"/>
          <w:szCs w:val="24"/>
        </w:rPr>
        <w:t>” (president) belongs to this group, so the feminine form is identical to the masculine one and the correct way to address a female president is “</w:t>
      </w:r>
      <w:r>
        <w:rPr>
          <w:b/>
          <w:sz w:val="24"/>
          <w:szCs w:val="24"/>
        </w:rPr>
        <w:t>la</w:t>
      </w:r>
      <w:r>
        <w:rPr>
          <w:sz w:val="24"/>
          <w:szCs w:val="24"/>
        </w:rPr>
        <w:t xml:space="preserve"> </w:t>
      </w:r>
      <w:proofErr w:type="spellStart"/>
      <w:r>
        <w:rPr>
          <w:sz w:val="24"/>
          <w:szCs w:val="24"/>
        </w:rPr>
        <w:t>presidente</w:t>
      </w:r>
      <w:proofErr w:type="spellEnd"/>
      <w:r>
        <w:rPr>
          <w:sz w:val="24"/>
          <w:szCs w:val="24"/>
        </w:rPr>
        <w:t>” (the president, with the feminine article). Nouns that end with “-e”, but not with “-ere” or “-tore” or “-sore”, are invariable too: the feminine form of “</w:t>
      </w:r>
      <w:proofErr w:type="spellStart"/>
      <w:r>
        <w:rPr>
          <w:sz w:val="24"/>
          <w:szCs w:val="24"/>
        </w:rPr>
        <w:t>vigil</w:t>
      </w:r>
      <w:r>
        <w:rPr>
          <w:b/>
          <w:sz w:val="24"/>
          <w:szCs w:val="24"/>
        </w:rPr>
        <w:t>e</w:t>
      </w:r>
      <w:proofErr w:type="spellEnd"/>
      <w:r>
        <w:rPr>
          <w:sz w:val="24"/>
          <w:szCs w:val="24"/>
        </w:rPr>
        <w:t>” (traffic police officer) is “</w:t>
      </w:r>
      <w:proofErr w:type="spellStart"/>
      <w:r>
        <w:rPr>
          <w:sz w:val="24"/>
          <w:szCs w:val="24"/>
        </w:rPr>
        <w:t>vigil</w:t>
      </w:r>
      <w:r>
        <w:rPr>
          <w:b/>
          <w:sz w:val="24"/>
          <w:szCs w:val="24"/>
        </w:rPr>
        <w:t>e</w:t>
      </w:r>
      <w:proofErr w:type="spellEnd"/>
      <w:r>
        <w:rPr>
          <w:sz w:val="24"/>
          <w:szCs w:val="24"/>
        </w:rPr>
        <w:t>” itself, just like “</w:t>
      </w:r>
      <w:proofErr w:type="spellStart"/>
      <w:r>
        <w:rPr>
          <w:sz w:val="24"/>
          <w:szCs w:val="24"/>
        </w:rPr>
        <w:t>nipot</w:t>
      </w:r>
      <w:r>
        <w:rPr>
          <w:b/>
          <w:sz w:val="24"/>
          <w:szCs w:val="24"/>
        </w:rPr>
        <w:t>e</w:t>
      </w:r>
      <w:proofErr w:type="spellEnd"/>
      <w:r>
        <w:rPr>
          <w:sz w:val="24"/>
          <w:szCs w:val="24"/>
        </w:rPr>
        <w:t>” (grandchild) can be both feminine and masculine. Loan words like “manager” and “leader” work in this way as well: a female manager would be “</w:t>
      </w:r>
      <w:r>
        <w:rPr>
          <w:b/>
          <w:sz w:val="24"/>
          <w:szCs w:val="24"/>
        </w:rPr>
        <w:t>la</w:t>
      </w:r>
      <w:r>
        <w:rPr>
          <w:sz w:val="24"/>
          <w:szCs w:val="24"/>
        </w:rPr>
        <w:t xml:space="preserve"> manager” and a male one would be “</w:t>
      </w:r>
      <w:r>
        <w:rPr>
          <w:b/>
          <w:sz w:val="24"/>
          <w:szCs w:val="24"/>
        </w:rPr>
        <w:t>il</w:t>
      </w:r>
      <w:r>
        <w:rPr>
          <w:sz w:val="24"/>
          <w:szCs w:val="24"/>
        </w:rPr>
        <w:t xml:space="preserve"> manager”, so the two differ in the article (and other possible elements agreeing with the noun); mutatis mutandis for “leader”.</w:t>
      </w:r>
    </w:p>
    <w:p w14:paraId="025D1928" w14:textId="77777777" w:rsidR="005C7D9A" w:rsidRDefault="00000000">
      <w:pPr>
        <w:keepNext/>
        <w:spacing w:line="240" w:lineRule="auto"/>
        <w:rPr>
          <w:sz w:val="24"/>
          <w:szCs w:val="24"/>
        </w:rPr>
      </w:pPr>
      <w:r>
        <w:rPr>
          <w:sz w:val="24"/>
          <w:szCs w:val="24"/>
        </w:rPr>
        <w:t xml:space="preserve">Thus, using feminine job titles oftentimes simply amounts to employing nouns that already belong to the Italian lexicon. This is clearly the case for </w:t>
      </w:r>
      <w:r>
        <w:rPr>
          <w:i/>
          <w:sz w:val="24"/>
          <w:szCs w:val="24"/>
        </w:rPr>
        <w:t>party leader</w:t>
      </w:r>
      <w:r>
        <w:rPr>
          <w:sz w:val="24"/>
          <w:szCs w:val="24"/>
        </w:rPr>
        <w:t>, “</w:t>
      </w:r>
      <w:proofErr w:type="spellStart"/>
      <w:r>
        <w:rPr>
          <w:sz w:val="24"/>
          <w:szCs w:val="24"/>
        </w:rPr>
        <w:t>segretaria</w:t>
      </w:r>
      <w:proofErr w:type="spellEnd"/>
      <w:r>
        <w:rPr>
          <w:sz w:val="24"/>
          <w:szCs w:val="24"/>
        </w:rPr>
        <w:t>”. In other cases, though, the feminine job title is not yet established and needs to be formed by applying the productive rules for deriving feminine forms. “Medica” (physician) and “</w:t>
      </w:r>
      <w:proofErr w:type="spellStart"/>
      <w:r>
        <w:rPr>
          <w:sz w:val="24"/>
          <w:szCs w:val="24"/>
        </w:rPr>
        <w:t>avvocata</w:t>
      </w:r>
      <w:proofErr w:type="spellEnd"/>
      <w:r>
        <w:rPr>
          <w:sz w:val="24"/>
          <w:szCs w:val="24"/>
        </w:rPr>
        <w:t>” (</w:t>
      </w:r>
      <w:proofErr w:type="spellStart"/>
      <w:r>
        <w:rPr>
          <w:sz w:val="24"/>
          <w:szCs w:val="24"/>
        </w:rPr>
        <w:t>laywer</w:t>
      </w:r>
      <w:proofErr w:type="spellEnd"/>
      <w:r>
        <w:rPr>
          <w:sz w:val="24"/>
          <w:szCs w:val="24"/>
        </w:rPr>
        <w:t>) are two such examples. Finally, some words, including loan ones, are invariable for gender. Thus, a female CEO or president would simply be “</w:t>
      </w:r>
      <w:r>
        <w:rPr>
          <w:b/>
          <w:sz w:val="24"/>
          <w:szCs w:val="24"/>
        </w:rPr>
        <w:t>la</w:t>
      </w:r>
      <w:r>
        <w:rPr>
          <w:sz w:val="24"/>
          <w:szCs w:val="24"/>
        </w:rPr>
        <w:t xml:space="preserve"> CEO” and “</w:t>
      </w:r>
      <w:r>
        <w:rPr>
          <w:b/>
          <w:sz w:val="24"/>
          <w:szCs w:val="24"/>
        </w:rPr>
        <w:t>la</w:t>
      </w:r>
      <w:r>
        <w:rPr>
          <w:sz w:val="24"/>
          <w:szCs w:val="24"/>
        </w:rPr>
        <w:t xml:space="preserve"> </w:t>
      </w:r>
      <w:proofErr w:type="spellStart"/>
      <w:r>
        <w:rPr>
          <w:sz w:val="24"/>
          <w:szCs w:val="24"/>
        </w:rPr>
        <w:t>presidente</w:t>
      </w:r>
      <w:proofErr w:type="spellEnd"/>
      <w:r>
        <w:rPr>
          <w:sz w:val="24"/>
          <w:szCs w:val="24"/>
        </w:rPr>
        <w:t xml:space="preserve">”, respectively. </w:t>
      </w:r>
    </w:p>
    <w:p w14:paraId="489AD40B" w14:textId="77777777" w:rsidR="005C7D9A" w:rsidRDefault="005C7D9A">
      <w:pPr>
        <w:spacing w:line="360" w:lineRule="auto"/>
      </w:pPr>
    </w:p>
    <w:p w14:paraId="76C592E5" w14:textId="77777777" w:rsidR="005C7D9A" w:rsidRDefault="00000000">
      <w:pPr>
        <w:spacing w:line="360" w:lineRule="auto"/>
        <w:ind w:firstLine="0"/>
      </w:pPr>
      <w:r>
        <w:rPr>
          <w:b/>
          <w:sz w:val="24"/>
          <w:szCs w:val="24"/>
        </w:rPr>
        <w:t>3.</w:t>
      </w:r>
      <w:r>
        <w:rPr>
          <w:b/>
          <w:sz w:val="24"/>
          <w:szCs w:val="24"/>
        </w:rPr>
        <w:tab/>
        <w:t>Research question</w:t>
      </w:r>
    </w:p>
    <w:p w14:paraId="14A1576D" w14:textId="77777777" w:rsidR="005C7D9A" w:rsidRDefault="00000000">
      <w:pPr>
        <w:spacing w:line="240" w:lineRule="auto"/>
        <w:ind w:firstLine="0"/>
        <w:rPr>
          <w:b/>
          <w:sz w:val="24"/>
          <w:szCs w:val="24"/>
        </w:rPr>
      </w:pPr>
      <w:r>
        <w:rPr>
          <w:sz w:val="24"/>
          <w:szCs w:val="24"/>
        </w:rPr>
        <w:t xml:space="preserve">As one of the most powerful ways implicit </w:t>
      </w:r>
      <w:proofErr w:type="gramStart"/>
      <w:r>
        <w:rPr>
          <w:sz w:val="24"/>
          <w:szCs w:val="24"/>
        </w:rPr>
        <w:t>bias</w:t>
      </w:r>
      <w:proofErr w:type="gramEnd"/>
      <w:r>
        <w:rPr>
          <w:sz w:val="24"/>
          <w:szCs w:val="24"/>
        </w:rPr>
        <w:t xml:space="preserve"> (i.e. automatic and unconscious beliefs) can act is through language, a robust understanding of public’s positive or negative attitude toward feminine terms can contribute to gender achievement gap in top echelon position. As such, the objective of this study is to use Twitter to map the evolution in using top echelon positions’ terms. In particular, we investigated the distribution </w:t>
      </w:r>
      <w:proofErr w:type="gramStart"/>
      <w:r>
        <w:rPr>
          <w:sz w:val="24"/>
          <w:szCs w:val="24"/>
        </w:rPr>
        <w:t>of</w:t>
      </w:r>
      <w:proofErr w:type="gramEnd"/>
      <w:r>
        <w:rPr>
          <w:sz w:val="24"/>
          <w:szCs w:val="24"/>
        </w:rPr>
        <w:t xml:space="preserve"> and the sentiment associated with “</w:t>
      </w:r>
      <w:proofErr w:type="spellStart"/>
      <w:r>
        <w:rPr>
          <w:sz w:val="24"/>
          <w:szCs w:val="24"/>
        </w:rPr>
        <w:t>amministratrice</w:t>
      </w:r>
      <w:proofErr w:type="spellEnd"/>
      <w:r>
        <w:rPr>
          <w:sz w:val="24"/>
          <w:szCs w:val="24"/>
        </w:rPr>
        <w:t>” (administrator), “la CEO”, “</w:t>
      </w:r>
      <w:proofErr w:type="spellStart"/>
      <w:r>
        <w:rPr>
          <w:sz w:val="24"/>
          <w:szCs w:val="24"/>
        </w:rPr>
        <w:t>direttrice</w:t>
      </w:r>
      <w:proofErr w:type="spellEnd"/>
      <w:r>
        <w:rPr>
          <w:sz w:val="24"/>
          <w:szCs w:val="24"/>
        </w:rPr>
        <w:t>” (director), and “</w:t>
      </w:r>
      <w:proofErr w:type="spellStart"/>
      <w:r>
        <w:rPr>
          <w:sz w:val="24"/>
          <w:szCs w:val="24"/>
        </w:rPr>
        <w:t>imprenditrice</w:t>
      </w:r>
      <w:proofErr w:type="spellEnd"/>
      <w:r>
        <w:rPr>
          <w:sz w:val="24"/>
          <w:szCs w:val="24"/>
        </w:rPr>
        <w:t>” (</w:t>
      </w:r>
      <w:proofErr w:type="spellStart"/>
      <w:r>
        <w:rPr>
          <w:sz w:val="24"/>
          <w:szCs w:val="24"/>
        </w:rPr>
        <w:t>enterpreneur</w:t>
      </w:r>
      <w:proofErr w:type="spellEnd"/>
      <w:r>
        <w:rPr>
          <w:sz w:val="24"/>
          <w:szCs w:val="24"/>
        </w:rPr>
        <w:t>) with respect to their masculine counterparts (“</w:t>
      </w:r>
      <w:proofErr w:type="spellStart"/>
      <w:r>
        <w:rPr>
          <w:sz w:val="24"/>
          <w:szCs w:val="24"/>
        </w:rPr>
        <w:t>amminstratore</w:t>
      </w:r>
      <w:proofErr w:type="spellEnd"/>
      <w:r>
        <w:rPr>
          <w:sz w:val="24"/>
          <w:szCs w:val="24"/>
        </w:rPr>
        <w:t>”, “il CEO”, “</w:t>
      </w:r>
      <w:proofErr w:type="spellStart"/>
      <w:r>
        <w:rPr>
          <w:sz w:val="24"/>
          <w:szCs w:val="24"/>
        </w:rPr>
        <w:t>direttore</w:t>
      </w:r>
      <w:proofErr w:type="spellEnd"/>
      <w:r>
        <w:rPr>
          <w:sz w:val="24"/>
          <w:szCs w:val="24"/>
        </w:rPr>
        <w:t>”, and “</w:t>
      </w:r>
      <w:proofErr w:type="spellStart"/>
      <w:r>
        <w:rPr>
          <w:sz w:val="24"/>
          <w:szCs w:val="24"/>
        </w:rPr>
        <w:t>imprenditore</w:t>
      </w:r>
      <w:proofErr w:type="spellEnd"/>
      <w:r>
        <w:rPr>
          <w:sz w:val="24"/>
          <w:szCs w:val="24"/>
        </w:rPr>
        <w:t>”, respectively). We will analyze the trend over time of the studied terms to see how they have evolved and assess public attitudes about these terms.</w:t>
      </w:r>
    </w:p>
    <w:p w14:paraId="0CA3AA5F" w14:textId="77777777" w:rsidR="005C7D9A" w:rsidRDefault="005C7D9A">
      <w:pPr>
        <w:spacing w:line="360" w:lineRule="auto"/>
        <w:rPr>
          <w:b/>
          <w:sz w:val="24"/>
          <w:szCs w:val="24"/>
        </w:rPr>
      </w:pPr>
    </w:p>
    <w:p w14:paraId="7DCBB3B5" w14:textId="77777777" w:rsidR="005C7D9A" w:rsidRDefault="00000000">
      <w:pPr>
        <w:spacing w:line="360" w:lineRule="auto"/>
        <w:ind w:firstLine="0"/>
        <w:rPr>
          <w:b/>
          <w:sz w:val="24"/>
          <w:szCs w:val="24"/>
        </w:rPr>
      </w:pPr>
      <w:r>
        <w:rPr>
          <w:b/>
          <w:sz w:val="24"/>
          <w:szCs w:val="24"/>
        </w:rPr>
        <w:t>4.</w:t>
      </w:r>
      <w:r>
        <w:rPr>
          <w:b/>
          <w:sz w:val="24"/>
          <w:szCs w:val="24"/>
        </w:rPr>
        <w:tab/>
        <w:t>Data</w:t>
      </w:r>
    </w:p>
    <w:p w14:paraId="0ABA259C" w14:textId="77777777" w:rsidR="005C7D9A" w:rsidRDefault="00000000">
      <w:pPr>
        <w:spacing w:line="360" w:lineRule="auto"/>
        <w:ind w:firstLine="0"/>
        <w:rPr>
          <w:b/>
          <w:sz w:val="24"/>
          <w:szCs w:val="24"/>
        </w:rPr>
      </w:pPr>
      <w:r>
        <w:rPr>
          <w:b/>
          <w:sz w:val="24"/>
          <w:szCs w:val="24"/>
        </w:rPr>
        <w:t>4.1</w:t>
      </w:r>
      <w:r>
        <w:rPr>
          <w:b/>
          <w:sz w:val="24"/>
          <w:szCs w:val="24"/>
        </w:rPr>
        <w:tab/>
        <w:t>Data collection</w:t>
      </w:r>
    </w:p>
    <w:p w14:paraId="22419915" w14:textId="77777777" w:rsidR="005C7D9A" w:rsidRDefault="00000000">
      <w:pPr>
        <w:spacing w:line="240" w:lineRule="auto"/>
        <w:ind w:firstLine="0"/>
        <w:rPr>
          <w:sz w:val="24"/>
          <w:szCs w:val="24"/>
        </w:rPr>
      </w:pPr>
      <w:r>
        <w:rPr>
          <w:sz w:val="24"/>
          <w:szCs w:val="24"/>
        </w:rPr>
        <w:t xml:space="preserve">To assess how a language is a management tool contributing to diversity inclusion, we </w:t>
      </w:r>
      <w:proofErr w:type="spellStart"/>
      <w:r>
        <w:rPr>
          <w:sz w:val="24"/>
          <w:szCs w:val="24"/>
        </w:rPr>
        <w:t>analise</w:t>
      </w:r>
      <w:proofErr w:type="spellEnd"/>
      <w:r>
        <w:rPr>
          <w:sz w:val="24"/>
          <w:szCs w:val="24"/>
        </w:rPr>
        <w:t xml:space="preserve"> the terms related to top echelon positions: entrepreneurs, administrators, CEO and directors. We use morphological criteria such as the difference in suffixes between feminine and masculine words and the different masculine-feminine articles that can precede the noun to select the words to study. We considered the words:</w:t>
      </w:r>
    </w:p>
    <w:p w14:paraId="499A7213" w14:textId="77777777" w:rsidR="005C7D9A" w:rsidRDefault="00000000">
      <w:pPr>
        <w:numPr>
          <w:ilvl w:val="0"/>
          <w:numId w:val="1"/>
        </w:numPr>
        <w:spacing w:line="240" w:lineRule="auto"/>
        <w:rPr>
          <w:sz w:val="24"/>
          <w:szCs w:val="24"/>
        </w:rPr>
      </w:pPr>
      <w:r>
        <w:rPr>
          <w:sz w:val="24"/>
          <w:szCs w:val="24"/>
        </w:rPr>
        <w:t>ending in -</w:t>
      </w:r>
      <w:proofErr w:type="spellStart"/>
      <w:r>
        <w:rPr>
          <w:sz w:val="24"/>
          <w:szCs w:val="24"/>
        </w:rPr>
        <w:t>ore</w:t>
      </w:r>
      <w:r>
        <w:rPr>
          <w:sz w:val="24"/>
          <w:szCs w:val="24"/>
          <w:vertAlign w:val="subscript"/>
        </w:rPr>
        <w:t>MASC</w:t>
      </w:r>
      <w:proofErr w:type="spellEnd"/>
      <w:r>
        <w:rPr>
          <w:sz w:val="24"/>
          <w:szCs w:val="24"/>
        </w:rPr>
        <w:t>/-</w:t>
      </w:r>
      <w:proofErr w:type="spellStart"/>
      <w:proofErr w:type="gramStart"/>
      <w:r>
        <w:rPr>
          <w:sz w:val="24"/>
          <w:szCs w:val="24"/>
        </w:rPr>
        <w:t>rice</w:t>
      </w:r>
      <w:r>
        <w:rPr>
          <w:sz w:val="24"/>
          <w:szCs w:val="24"/>
          <w:vertAlign w:val="subscript"/>
        </w:rPr>
        <w:t>FEM</w:t>
      </w:r>
      <w:proofErr w:type="spellEnd"/>
      <w:r>
        <w:rPr>
          <w:sz w:val="24"/>
          <w:szCs w:val="24"/>
        </w:rPr>
        <w:t xml:space="preserve"> :</w:t>
      </w:r>
      <w:proofErr w:type="gramEnd"/>
      <w:r>
        <w:rPr>
          <w:sz w:val="24"/>
          <w:szCs w:val="24"/>
        </w:rPr>
        <w:t xml:space="preserve">  </w:t>
      </w:r>
    </w:p>
    <w:p w14:paraId="45172CA0" w14:textId="77777777" w:rsidR="005C7D9A" w:rsidRDefault="00000000">
      <w:pPr>
        <w:spacing w:line="240" w:lineRule="auto"/>
        <w:ind w:left="720" w:firstLine="0"/>
        <w:rPr>
          <w:sz w:val="24"/>
          <w:szCs w:val="24"/>
        </w:rPr>
      </w:pPr>
      <w:proofErr w:type="spellStart"/>
      <w:r>
        <w:rPr>
          <w:sz w:val="24"/>
          <w:szCs w:val="24"/>
        </w:rPr>
        <w:t>imprenditore</w:t>
      </w:r>
      <w:proofErr w:type="spellEnd"/>
      <w:r>
        <w:rPr>
          <w:sz w:val="24"/>
          <w:szCs w:val="24"/>
        </w:rPr>
        <w:t>/</w:t>
      </w:r>
      <w:proofErr w:type="spellStart"/>
      <w:r>
        <w:rPr>
          <w:sz w:val="24"/>
          <w:szCs w:val="24"/>
        </w:rPr>
        <w:t>imprenditrice</w:t>
      </w:r>
      <w:proofErr w:type="spellEnd"/>
      <w:r>
        <w:rPr>
          <w:sz w:val="24"/>
          <w:szCs w:val="24"/>
        </w:rPr>
        <w:t xml:space="preserve"> (“entrepreneur”).</w:t>
      </w:r>
    </w:p>
    <w:p w14:paraId="2517DB48" w14:textId="77777777" w:rsidR="005C7D9A" w:rsidRDefault="00000000">
      <w:pPr>
        <w:numPr>
          <w:ilvl w:val="0"/>
          <w:numId w:val="2"/>
        </w:numPr>
        <w:spacing w:line="240" w:lineRule="auto"/>
        <w:rPr>
          <w:sz w:val="24"/>
          <w:szCs w:val="24"/>
        </w:rPr>
      </w:pPr>
      <w:r>
        <w:rPr>
          <w:sz w:val="24"/>
          <w:szCs w:val="24"/>
        </w:rPr>
        <w:t>ending in -</w:t>
      </w:r>
      <w:proofErr w:type="spellStart"/>
      <w:r>
        <w:rPr>
          <w:sz w:val="24"/>
          <w:szCs w:val="24"/>
        </w:rPr>
        <w:t>ore</w:t>
      </w:r>
      <w:r>
        <w:rPr>
          <w:sz w:val="24"/>
          <w:szCs w:val="24"/>
          <w:vertAlign w:val="subscript"/>
        </w:rPr>
        <w:t>MASC</w:t>
      </w:r>
      <w:proofErr w:type="spellEnd"/>
      <w:r>
        <w:rPr>
          <w:sz w:val="24"/>
          <w:szCs w:val="24"/>
        </w:rPr>
        <w:t>/-</w:t>
      </w:r>
      <w:proofErr w:type="spellStart"/>
      <w:proofErr w:type="gramStart"/>
      <w:r>
        <w:rPr>
          <w:sz w:val="24"/>
          <w:szCs w:val="24"/>
        </w:rPr>
        <w:t>ire</w:t>
      </w:r>
      <w:r>
        <w:rPr>
          <w:sz w:val="24"/>
          <w:szCs w:val="24"/>
          <w:vertAlign w:val="subscript"/>
        </w:rPr>
        <w:t>FEM</w:t>
      </w:r>
      <w:proofErr w:type="spellEnd"/>
      <w:r>
        <w:rPr>
          <w:sz w:val="24"/>
          <w:szCs w:val="24"/>
        </w:rPr>
        <w:t xml:space="preserve"> :</w:t>
      </w:r>
      <w:proofErr w:type="gramEnd"/>
    </w:p>
    <w:p w14:paraId="1F4414E0" w14:textId="77777777" w:rsidR="005C7D9A" w:rsidRDefault="00000000">
      <w:pPr>
        <w:spacing w:line="240" w:lineRule="auto"/>
        <w:ind w:left="720" w:firstLine="0"/>
        <w:rPr>
          <w:sz w:val="24"/>
          <w:szCs w:val="24"/>
        </w:rPr>
      </w:pPr>
      <w:proofErr w:type="spellStart"/>
      <w:r>
        <w:rPr>
          <w:sz w:val="24"/>
          <w:szCs w:val="24"/>
        </w:rPr>
        <w:t>direttore</w:t>
      </w:r>
      <w:proofErr w:type="spellEnd"/>
      <w:r>
        <w:rPr>
          <w:sz w:val="24"/>
          <w:szCs w:val="24"/>
        </w:rPr>
        <w:t>/</w:t>
      </w:r>
      <w:proofErr w:type="spellStart"/>
      <w:r>
        <w:rPr>
          <w:sz w:val="24"/>
          <w:szCs w:val="24"/>
        </w:rPr>
        <w:t>direttrice</w:t>
      </w:r>
      <w:proofErr w:type="spellEnd"/>
      <w:r>
        <w:rPr>
          <w:sz w:val="24"/>
          <w:szCs w:val="24"/>
        </w:rPr>
        <w:t xml:space="preserve"> (“director”</w:t>
      </w:r>
      <w:proofErr w:type="gramStart"/>
      <w:r>
        <w:rPr>
          <w:sz w:val="24"/>
          <w:szCs w:val="24"/>
        </w:rPr>
        <w:t>);</w:t>
      </w:r>
      <w:proofErr w:type="gramEnd"/>
    </w:p>
    <w:p w14:paraId="11E1A64D" w14:textId="77777777" w:rsidR="005C7D9A" w:rsidRDefault="00000000">
      <w:pPr>
        <w:spacing w:line="240" w:lineRule="auto"/>
        <w:ind w:left="720" w:firstLine="0"/>
        <w:rPr>
          <w:sz w:val="24"/>
          <w:szCs w:val="24"/>
        </w:rPr>
      </w:pPr>
      <w:proofErr w:type="spellStart"/>
      <w:r>
        <w:rPr>
          <w:sz w:val="24"/>
          <w:szCs w:val="24"/>
        </w:rPr>
        <w:lastRenderedPageBreak/>
        <w:t>amministratore</w:t>
      </w:r>
      <w:proofErr w:type="spellEnd"/>
      <w:r>
        <w:rPr>
          <w:sz w:val="24"/>
          <w:szCs w:val="24"/>
        </w:rPr>
        <w:t xml:space="preserve">/ </w:t>
      </w:r>
      <w:proofErr w:type="spellStart"/>
      <w:r>
        <w:rPr>
          <w:sz w:val="24"/>
          <w:szCs w:val="24"/>
        </w:rPr>
        <w:t>amministratrice</w:t>
      </w:r>
      <w:proofErr w:type="spellEnd"/>
      <w:r>
        <w:rPr>
          <w:sz w:val="24"/>
          <w:szCs w:val="24"/>
        </w:rPr>
        <w:t xml:space="preserve"> (“administrator”).</w:t>
      </w:r>
    </w:p>
    <w:p w14:paraId="18B5920B" w14:textId="77777777" w:rsidR="005C7D9A" w:rsidRDefault="00000000">
      <w:pPr>
        <w:numPr>
          <w:ilvl w:val="0"/>
          <w:numId w:val="5"/>
        </w:numPr>
        <w:spacing w:line="240" w:lineRule="auto"/>
        <w:rPr>
          <w:sz w:val="24"/>
          <w:szCs w:val="24"/>
        </w:rPr>
      </w:pPr>
      <w:r>
        <w:rPr>
          <w:sz w:val="24"/>
          <w:szCs w:val="24"/>
        </w:rPr>
        <w:t xml:space="preserve">Using the determinative article </w:t>
      </w:r>
      <w:proofErr w:type="spellStart"/>
      <w:r>
        <w:rPr>
          <w:sz w:val="24"/>
          <w:szCs w:val="24"/>
        </w:rPr>
        <w:t>il</w:t>
      </w:r>
      <w:r>
        <w:rPr>
          <w:sz w:val="24"/>
          <w:szCs w:val="24"/>
          <w:vertAlign w:val="subscript"/>
        </w:rPr>
        <w:t>MASC</w:t>
      </w:r>
      <w:proofErr w:type="spellEnd"/>
      <w:r>
        <w:rPr>
          <w:sz w:val="24"/>
          <w:szCs w:val="24"/>
        </w:rPr>
        <w:t>/</w:t>
      </w:r>
      <w:proofErr w:type="spellStart"/>
      <w:r>
        <w:rPr>
          <w:sz w:val="24"/>
          <w:szCs w:val="24"/>
        </w:rPr>
        <w:t>la</w:t>
      </w:r>
      <w:r>
        <w:rPr>
          <w:sz w:val="24"/>
          <w:szCs w:val="24"/>
          <w:vertAlign w:val="subscript"/>
        </w:rPr>
        <w:t>FEM</w:t>
      </w:r>
      <w:proofErr w:type="spellEnd"/>
      <w:r>
        <w:rPr>
          <w:sz w:val="24"/>
          <w:szCs w:val="24"/>
        </w:rPr>
        <w:t xml:space="preserve"> to identify gender:</w:t>
      </w:r>
    </w:p>
    <w:p w14:paraId="08B08112" w14:textId="77777777" w:rsidR="005C7D9A" w:rsidRPr="000607AC" w:rsidRDefault="00000000">
      <w:pPr>
        <w:spacing w:line="240" w:lineRule="auto"/>
        <w:ind w:left="720" w:firstLine="0"/>
        <w:rPr>
          <w:sz w:val="24"/>
          <w:szCs w:val="24"/>
          <w:lang w:val="it-IT"/>
        </w:rPr>
      </w:pPr>
      <w:r w:rsidRPr="000607AC">
        <w:rPr>
          <w:sz w:val="24"/>
          <w:szCs w:val="24"/>
          <w:lang w:val="it-IT"/>
        </w:rPr>
        <w:t>il CEO/la CEO (“CEO”).</w:t>
      </w:r>
    </w:p>
    <w:p w14:paraId="7654578B" w14:textId="77777777" w:rsidR="005C7D9A" w:rsidRDefault="00000000">
      <w:pPr>
        <w:spacing w:line="240" w:lineRule="auto"/>
        <w:ind w:firstLine="0"/>
        <w:rPr>
          <w:sz w:val="24"/>
          <w:szCs w:val="24"/>
          <w:highlight w:val="white"/>
        </w:rPr>
      </w:pPr>
      <w:r>
        <w:rPr>
          <w:i/>
          <w:sz w:val="24"/>
          <w:szCs w:val="24"/>
        </w:rPr>
        <w:t>TWARC2</w:t>
      </w:r>
      <w:r>
        <w:rPr>
          <w:sz w:val="24"/>
          <w:szCs w:val="24"/>
        </w:rPr>
        <w:t xml:space="preserve"> was used to extract data from Twitter containing the target words, we decided to focus on tweets written in the Italian language, to exclude retweets, and to consider as a time frame from March 21, 2006 (when the first tweet in history was executed) to December 31, 2022. </w:t>
      </w:r>
    </w:p>
    <w:p w14:paraId="1CAF5EB1" w14:textId="77777777" w:rsidR="005C7D9A" w:rsidRDefault="00000000">
      <w:pPr>
        <w:spacing w:line="240" w:lineRule="auto"/>
        <w:ind w:firstLine="0"/>
        <w:rPr>
          <w:sz w:val="24"/>
          <w:szCs w:val="24"/>
        </w:rPr>
      </w:pPr>
      <w:r>
        <w:rPr>
          <w:sz w:val="24"/>
          <w:szCs w:val="24"/>
        </w:rPr>
        <w:t xml:space="preserve">The phase of downloading preliminary data analysis will now be presented. Initially the search keys used, as mentioned earlier, were as follows: </w:t>
      </w:r>
      <w:proofErr w:type="spellStart"/>
      <w:r>
        <w:rPr>
          <w:i/>
          <w:sz w:val="24"/>
          <w:szCs w:val="24"/>
        </w:rPr>
        <w:t>imprenditore</w:t>
      </w:r>
      <w:proofErr w:type="spellEnd"/>
      <w:r>
        <w:rPr>
          <w:i/>
          <w:sz w:val="24"/>
          <w:szCs w:val="24"/>
        </w:rPr>
        <w:t xml:space="preserve">, </w:t>
      </w:r>
      <w:proofErr w:type="spellStart"/>
      <w:r>
        <w:rPr>
          <w:i/>
          <w:sz w:val="24"/>
          <w:szCs w:val="24"/>
        </w:rPr>
        <w:t>imprenditrice</w:t>
      </w:r>
      <w:proofErr w:type="spellEnd"/>
      <w:r>
        <w:rPr>
          <w:i/>
          <w:sz w:val="24"/>
          <w:szCs w:val="24"/>
        </w:rPr>
        <w:t xml:space="preserve">, </w:t>
      </w:r>
      <w:proofErr w:type="spellStart"/>
      <w:r>
        <w:rPr>
          <w:i/>
          <w:sz w:val="24"/>
          <w:szCs w:val="24"/>
        </w:rPr>
        <w:t>amministratore</w:t>
      </w:r>
      <w:proofErr w:type="spellEnd"/>
      <w:r>
        <w:rPr>
          <w:i/>
          <w:sz w:val="24"/>
          <w:szCs w:val="24"/>
        </w:rPr>
        <w:t xml:space="preserve">, </w:t>
      </w:r>
      <w:proofErr w:type="spellStart"/>
      <w:r>
        <w:rPr>
          <w:i/>
          <w:sz w:val="24"/>
          <w:szCs w:val="24"/>
        </w:rPr>
        <w:t>amministratrice</w:t>
      </w:r>
      <w:proofErr w:type="spellEnd"/>
      <w:r>
        <w:rPr>
          <w:i/>
          <w:sz w:val="24"/>
          <w:szCs w:val="24"/>
        </w:rPr>
        <w:t xml:space="preserve">, il CEO, la CEO, </w:t>
      </w:r>
      <w:proofErr w:type="spellStart"/>
      <w:r>
        <w:rPr>
          <w:i/>
          <w:sz w:val="24"/>
          <w:szCs w:val="24"/>
        </w:rPr>
        <w:t>direttore</w:t>
      </w:r>
      <w:proofErr w:type="spellEnd"/>
      <w:r>
        <w:rPr>
          <w:i/>
          <w:sz w:val="24"/>
          <w:szCs w:val="24"/>
        </w:rPr>
        <w:t xml:space="preserve"> and </w:t>
      </w:r>
      <w:proofErr w:type="spellStart"/>
      <w:r>
        <w:rPr>
          <w:i/>
          <w:sz w:val="24"/>
          <w:szCs w:val="24"/>
        </w:rPr>
        <w:t>direttrice</w:t>
      </w:r>
      <w:proofErr w:type="spellEnd"/>
      <w:r>
        <w:rPr>
          <w:sz w:val="24"/>
          <w:szCs w:val="24"/>
        </w:rPr>
        <w:t xml:space="preserve">. All those tweets in the entire Twitter database with the searched keyword within them were then considered. To understand the extent of noise and accuracy of the tweets obtained, a sample analysis of the tweets considered was conducted, analyzing them manually. This analysis showed that many tweets did not refer to the corporate sphere, but were, for example, about politics, condominiums, orchestras, and other topics. The initial results were disappointing as shown in Table 2, except for the terms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As a result, it was decided to modify the research methodology. Tweets containing a single keyword were no longer searched, but rather a combination of several terms, which were generally used to identify and narrow down the desired search field. The search keys used are shown in Table 1, these are the same for each search term. This made it possible to search a smaller number of tweets, but also improved the accuracy of the search, as can be appreciated in Table 2.</w:t>
      </w:r>
    </w:p>
    <w:p w14:paraId="0ED0750F" w14:textId="77777777" w:rsidR="005C7D9A" w:rsidRDefault="00000000">
      <w:pPr>
        <w:spacing w:line="240" w:lineRule="auto"/>
        <w:ind w:firstLine="0"/>
        <w:rPr>
          <w:sz w:val="24"/>
          <w:szCs w:val="24"/>
          <w:highlight w:val="white"/>
        </w:rPr>
      </w:pPr>
      <w:r>
        <w:rPr>
          <w:sz w:val="24"/>
          <w:szCs w:val="24"/>
        </w:rPr>
        <w:t xml:space="preserve">Otherwise for the words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xml:space="preserve">, we decided to proceed by subtraction, eliminating tweets that also contained the word </w:t>
      </w:r>
      <w:proofErr w:type="spellStart"/>
      <w:r>
        <w:rPr>
          <w:sz w:val="24"/>
          <w:szCs w:val="24"/>
        </w:rPr>
        <w:t>digitale</w:t>
      </w:r>
      <w:proofErr w:type="spellEnd"/>
      <w:r>
        <w:rPr>
          <w:sz w:val="24"/>
          <w:szCs w:val="24"/>
        </w:rPr>
        <w:t xml:space="preserve"> (“digital”). </w:t>
      </w:r>
    </w:p>
    <w:p w14:paraId="6E27823C" w14:textId="77777777" w:rsidR="005C7D9A" w:rsidRDefault="005C7D9A">
      <w:pPr>
        <w:spacing w:line="360" w:lineRule="auto"/>
        <w:ind w:firstLine="0"/>
        <w:rPr>
          <w:sz w:val="24"/>
          <w:szCs w:val="24"/>
        </w:rPr>
      </w:pPr>
    </w:p>
    <w:p w14:paraId="7CBC2411" w14:textId="77777777" w:rsidR="005C7D9A" w:rsidRDefault="00000000">
      <w:pPr>
        <w:spacing w:after="200" w:line="360" w:lineRule="auto"/>
        <w:ind w:firstLine="0"/>
        <w:jc w:val="center"/>
      </w:pPr>
      <w:r>
        <w:rPr>
          <w:i/>
          <w:color w:val="44546A"/>
        </w:rPr>
        <w:t>Table 1. Keywords used for director, administrator and CEO.</w:t>
      </w:r>
    </w:p>
    <w:tbl>
      <w:tblPr>
        <w:tblStyle w:val="a3"/>
        <w:tblW w:w="577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755"/>
        <w:gridCol w:w="4020"/>
      </w:tblGrid>
      <w:tr w:rsidR="005C7D9A" w14:paraId="7A98476C" w14:textId="77777777">
        <w:trPr>
          <w:trHeight w:val="276"/>
        </w:trPr>
        <w:tc>
          <w:tcPr>
            <w:tcW w:w="1755" w:type="dxa"/>
            <w:tcBorders>
              <w:top w:val="nil"/>
              <w:left w:val="nil"/>
              <w:bottom w:val="single" w:sz="8" w:space="0" w:color="000000"/>
              <w:right w:val="single" w:sz="4" w:space="0" w:color="000000"/>
            </w:tcBorders>
            <w:tcMar>
              <w:top w:w="20" w:type="dxa"/>
              <w:left w:w="20" w:type="dxa"/>
              <w:bottom w:w="100" w:type="dxa"/>
              <w:right w:w="20" w:type="dxa"/>
            </w:tcMar>
            <w:vAlign w:val="bottom"/>
          </w:tcPr>
          <w:p w14:paraId="58C08C25" w14:textId="77777777" w:rsidR="005C7D9A" w:rsidRDefault="00000000">
            <w:pPr>
              <w:widowControl w:val="0"/>
              <w:pBdr>
                <w:top w:val="nil"/>
                <w:left w:val="nil"/>
                <w:bottom w:val="nil"/>
                <w:right w:val="nil"/>
                <w:between w:val="nil"/>
              </w:pBdr>
              <w:spacing w:line="360" w:lineRule="auto"/>
              <w:ind w:firstLine="0"/>
              <w:rPr>
                <w:b/>
              </w:rPr>
            </w:pPr>
            <w:r>
              <w:rPr>
                <w:b/>
              </w:rPr>
              <w:t>Positions</w:t>
            </w:r>
          </w:p>
        </w:tc>
        <w:tc>
          <w:tcPr>
            <w:tcW w:w="4020" w:type="dxa"/>
            <w:tcBorders>
              <w:top w:val="nil"/>
              <w:left w:val="nil"/>
              <w:bottom w:val="single" w:sz="8" w:space="0" w:color="000000"/>
              <w:right w:val="nil"/>
            </w:tcBorders>
            <w:tcMar>
              <w:top w:w="20" w:type="dxa"/>
              <w:left w:w="20" w:type="dxa"/>
              <w:bottom w:w="100" w:type="dxa"/>
              <w:right w:w="20" w:type="dxa"/>
            </w:tcMar>
            <w:vAlign w:val="bottom"/>
          </w:tcPr>
          <w:p w14:paraId="6DCD5DE7" w14:textId="77777777" w:rsidR="005C7D9A" w:rsidRDefault="00000000">
            <w:pPr>
              <w:widowControl w:val="0"/>
              <w:pBdr>
                <w:top w:val="nil"/>
                <w:left w:val="nil"/>
                <w:bottom w:val="nil"/>
                <w:right w:val="nil"/>
                <w:between w:val="nil"/>
              </w:pBdr>
              <w:spacing w:line="360" w:lineRule="auto"/>
              <w:ind w:firstLine="0"/>
              <w:jc w:val="center"/>
              <w:rPr>
                <w:b/>
              </w:rPr>
            </w:pPr>
            <w:r>
              <w:rPr>
                <w:b/>
              </w:rPr>
              <w:t>Words related to the firm environment</w:t>
            </w:r>
          </w:p>
        </w:tc>
      </w:tr>
      <w:tr w:rsidR="005C7D9A" w:rsidRPr="000607AC" w14:paraId="4B2ED14E" w14:textId="77777777">
        <w:trPr>
          <w:trHeight w:val="251"/>
        </w:trPr>
        <w:tc>
          <w:tcPr>
            <w:tcW w:w="1755" w:type="dxa"/>
            <w:tcBorders>
              <w:top w:val="nil"/>
              <w:left w:val="nil"/>
              <w:bottom w:val="nil"/>
              <w:right w:val="single" w:sz="4" w:space="0" w:color="000000"/>
            </w:tcBorders>
            <w:tcMar>
              <w:top w:w="20" w:type="dxa"/>
              <w:left w:w="20" w:type="dxa"/>
              <w:bottom w:w="100" w:type="dxa"/>
              <w:right w:w="20" w:type="dxa"/>
            </w:tcMar>
            <w:vAlign w:val="bottom"/>
          </w:tcPr>
          <w:p w14:paraId="3EF8F8A4" w14:textId="77777777" w:rsidR="005C7D9A" w:rsidRDefault="00000000">
            <w:pPr>
              <w:widowControl w:val="0"/>
              <w:pBdr>
                <w:top w:val="nil"/>
                <w:left w:val="nil"/>
                <w:bottom w:val="nil"/>
                <w:right w:val="nil"/>
                <w:between w:val="nil"/>
              </w:pBdr>
              <w:spacing w:line="360" w:lineRule="auto"/>
              <w:ind w:firstLine="0"/>
              <w:rPr>
                <w:i/>
              </w:rPr>
            </w:pPr>
            <w:proofErr w:type="spellStart"/>
            <w:r>
              <w:rPr>
                <w:i/>
              </w:rPr>
              <w:t>Direttore</w:t>
            </w:r>
            <w:proofErr w:type="spellEnd"/>
          </w:p>
        </w:tc>
        <w:tc>
          <w:tcPr>
            <w:tcW w:w="4020" w:type="dxa"/>
            <w:vMerge w:val="restart"/>
            <w:tcBorders>
              <w:top w:val="nil"/>
              <w:left w:val="single" w:sz="4" w:space="0" w:color="000000"/>
              <w:bottom w:val="single" w:sz="4" w:space="0" w:color="000000"/>
              <w:right w:val="nil"/>
            </w:tcBorders>
            <w:tcMar>
              <w:top w:w="20" w:type="dxa"/>
              <w:left w:w="20" w:type="dxa"/>
              <w:bottom w:w="100" w:type="dxa"/>
              <w:right w:w="20" w:type="dxa"/>
            </w:tcMar>
            <w:vAlign w:val="center"/>
          </w:tcPr>
          <w:p w14:paraId="70676F89" w14:textId="77777777" w:rsidR="005C7D9A" w:rsidRPr="000607AC" w:rsidRDefault="00000000">
            <w:pPr>
              <w:widowControl w:val="0"/>
              <w:pBdr>
                <w:top w:val="nil"/>
                <w:left w:val="nil"/>
                <w:bottom w:val="nil"/>
                <w:right w:val="nil"/>
                <w:between w:val="nil"/>
              </w:pBdr>
              <w:spacing w:line="360" w:lineRule="auto"/>
              <w:ind w:firstLine="0"/>
              <w:jc w:val="center"/>
              <w:rPr>
                <w:lang w:val="it-IT"/>
              </w:rPr>
            </w:pPr>
            <w:r w:rsidRPr="000607AC">
              <w:rPr>
                <w:i/>
                <w:lang w:val="it-IT"/>
              </w:rPr>
              <w:t>Generale, azienda, aziende, aziendale, impresa, imprese</w:t>
            </w:r>
            <w:r w:rsidRPr="000607AC">
              <w:rPr>
                <w:lang w:val="it-IT"/>
              </w:rPr>
              <w:t xml:space="preserve">, cda, board, </w:t>
            </w:r>
            <w:r w:rsidRPr="000607AC">
              <w:rPr>
                <w:i/>
                <w:lang w:val="it-IT"/>
              </w:rPr>
              <w:t>consiglio amministrazione, consigli amministrazione, società</w:t>
            </w:r>
            <w:r w:rsidRPr="000607AC">
              <w:rPr>
                <w:lang w:val="it-IT"/>
              </w:rPr>
              <w:t>, business.</w:t>
            </w:r>
          </w:p>
        </w:tc>
      </w:tr>
      <w:tr w:rsidR="005C7D9A" w14:paraId="437D7417" w14:textId="77777777">
        <w:trPr>
          <w:trHeight w:val="415"/>
        </w:trPr>
        <w:tc>
          <w:tcPr>
            <w:tcW w:w="1755" w:type="dxa"/>
            <w:tcBorders>
              <w:top w:val="single" w:sz="4" w:space="0" w:color="000000"/>
              <w:left w:val="nil"/>
              <w:bottom w:val="single" w:sz="4" w:space="0" w:color="000000"/>
              <w:right w:val="single" w:sz="4" w:space="0" w:color="000000"/>
            </w:tcBorders>
            <w:tcMar>
              <w:top w:w="20" w:type="dxa"/>
              <w:left w:w="20" w:type="dxa"/>
              <w:bottom w:w="100" w:type="dxa"/>
              <w:right w:w="20" w:type="dxa"/>
            </w:tcMar>
            <w:vAlign w:val="bottom"/>
          </w:tcPr>
          <w:p w14:paraId="5E2084F6" w14:textId="77777777" w:rsidR="005C7D9A" w:rsidRDefault="00000000">
            <w:pPr>
              <w:widowControl w:val="0"/>
              <w:pBdr>
                <w:top w:val="nil"/>
                <w:left w:val="nil"/>
                <w:bottom w:val="nil"/>
                <w:right w:val="nil"/>
                <w:between w:val="nil"/>
              </w:pBdr>
              <w:spacing w:line="360" w:lineRule="auto"/>
              <w:ind w:firstLine="0"/>
              <w:rPr>
                <w:i/>
              </w:rPr>
            </w:pPr>
            <w:proofErr w:type="spellStart"/>
            <w:r>
              <w:rPr>
                <w:i/>
              </w:rPr>
              <w:t>Direttrice</w:t>
            </w:r>
            <w:proofErr w:type="spellEnd"/>
          </w:p>
        </w:tc>
        <w:tc>
          <w:tcPr>
            <w:tcW w:w="4020" w:type="dxa"/>
            <w:vMerge/>
            <w:tcBorders>
              <w:top w:val="nil"/>
              <w:left w:val="single" w:sz="4" w:space="0" w:color="000000"/>
              <w:bottom w:val="single" w:sz="4" w:space="0" w:color="000000"/>
              <w:right w:val="nil"/>
            </w:tcBorders>
            <w:tcMar>
              <w:top w:w="20" w:type="dxa"/>
              <w:left w:w="20" w:type="dxa"/>
              <w:bottom w:w="100" w:type="dxa"/>
              <w:right w:w="20" w:type="dxa"/>
            </w:tcMar>
            <w:vAlign w:val="center"/>
          </w:tcPr>
          <w:p w14:paraId="2099B33A" w14:textId="77777777" w:rsidR="005C7D9A" w:rsidRDefault="005C7D9A">
            <w:pPr>
              <w:widowControl w:val="0"/>
              <w:pBdr>
                <w:top w:val="nil"/>
                <w:left w:val="nil"/>
                <w:bottom w:val="nil"/>
                <w:right w:val="nil"/>
                <w:between w:val="nil"/>
              </w:pBdr>
              <w:ind w:firstLine="0"/>
              <w:jc w:val="left"/>
              <w:rPr>
                <w:i/>
              </w:rPr>
            </w:pPr>
          </w:p>
        </w:tc>
      </w:tr>
      <w:tr w:rsidR="005C7D9A" w14:paraId="50056C73" w14:textId="77777777">
        <w:trPr>
          <w:trHeight w:val="415"/>
        </w:trPr>
        <w:tc>
          <w:tcPr>
            <w:tcW w:w="1755" w:type="dxa"/>
            <w:tcBorders>
              <w:top w:val="nil"/>
              <w:left w:val="nil"/>
              <w:bottom w:val="nil"/>
              <w:right w:val="single" w:sz="4" w:space="0" w:color="000000"/>
            </w:tcBorders>
            <w:shd w:val="clear" w:color="auto" w:fill="auto"/>
            <w:tcMar>
              <w:top w:w="20" w:type="dxa"/>
              <w:left w:w="20" w:type="dxa"/>
              <w:bottom w:w="100" w:type="dxa"/>
              <w:right w:w="20" w:type="dxa"/>
            </w:tcMar>
            <w:vAlign w:val="bottom"/>
          </w:tcPr>
          <w:p w14:paraId="3EDB5CCA" w14:textId="77777777" w:rsidR="005C7D9A" w:rsidRDefault="00000000">
            <w:pPr>
              <w:widowControl w:val="0"/>
              <w:pBdr>
                <w:top w:val="nil"/>
                <w:left w:val="nil"/>
                <w:bottom w:val="nil"/>
                <w:right w:val="nil"/>
                <w:between w:val="nil"/>
              </w:pBdr>
              <w:spacing w:line="360" w:lineRule="auto"/>
              <w:ind w:firstLine="0"/>
              <w:rPr>
                <w:i/>
              </w:rPr>
            </w:pPr>
            <w:proofErr w:type="spellStart"/>
            <w:r>
              <w:rPr>
                <w:i/>
              </w:rPr>
              <w:t>Amministratore</w:t>
            </w:r>
            <w:proofErr w:type="spellEnd"/>
          </w:p>
        </w:tc>
        <w:tc>
          <w:tcPr>
            <w:tcW w:w="4020" w:type="dxa"/>
            <w:vMerge/>
            <w:tcBorders>
              <w:top w:val="nil"/>
              <w:left w:val="single" w:sz="4" w:space="0" w:color="000000"/>
              <w:bottom w:val="single" w:sz="4" w:space="0" w:color="000000"/>
              <w:right w:val="nil"/>
            </w:tcBorders>
            <w:tcMar>
              <w:top w:w="20" w:type="dxa"/>
              <w:left w:w="20" w:type="dxa"/>
              <w:bottom w:w="100" w:type="dxa"/>
              <w:right w:w="20" w:type="dxa"/>
            </w:tcMar>
            <w:vAlign w:val="center"/>
          </w:tcPr>
          <w:p w14:paraId="00838156" w14:textId="77777777" w:rsidR="005C7D9A" w:rsidRDefault="005C7D9A">
            <w:pPr>
              <w:widowControl w:val="0"/>
              <w:pBdr>
                <w:top w:val="nil"/>
                <w:left w:val="nil"/>
                <w:bottom w:val="nil"/>
                <w:right w:val="nil"/>
                <w:between w:val="nil"/>
              </w:pBdr>
              <w:ind w:firstLine="0"/>
              <w:jc w:val="left"/>
              <w:rPr>
                <w:i/>
              </w:rPr>
            </w:pPr>
          </w:p>
        </w:tc>
      </w:tr>
      <w:tr w:rsidR="005C7D9A" w14:paraId="6B25A6D0" w14:textId="77777777">
        <w:trPr>
          <w:trHeight w:val="415"/>
        </w:trPr>
        <w:tc>
          <w:tcPr>
            <w:tcW w:w="1755" w:type="dxa"/>
            <w:tcBorders>
              <w:top w:val="single" w:sz="4" w:space="0" w:color="000000"/>
              <w:left w:val="nil"/>
              <w:bottom w:val="single" w:sz="4" w:space="0" w:color="000000"/>
              <w:right w:val="single" w:sz="4" w:space="0" w:color="000000"/>
            </w:tcBorders>
            <w:shd w:val="clear" w:color="auto" w:fill="auto"/>
            <w:tcMar>
              <w:top w:w="20" w:type="dxa"/>
              <w:left w:w="20" w:type="dxa"/>
              <w:bottom w:w="100" w:type="dxa"/>
              <w:right w:w="20" w:type="dxa"/>
            </w:tcMar>
            <w:vAlign w:val="bottom"/>
          </w:tcPr>
          <w:p w14:paraId="7B1E580F" w14:textId="77777777" w:rsidR="005C7D9A" w:rsidRDefault="00000000">
            <w:pPr>
              <w:widowControl w:val="0"/>
              <w:pBdr>
                <w:top w:val="nil"/>
                <w:left w:val="nil"/>
                <w:bottom w:val="nil"/>
                <w:right w:val="nil"/>
                <w:between w:val="nil"/>
              </w:pBdr>
              <w:spacing w:line="360" w:lineRule="auto"/>
              <w:ind w:firstLine="0"/>
              <w:rPr>
                <w:i/>
              </w:rPr>
            </w:pPr>
            <w:proofErr w:type="spellStart"/>
            <w:r>
              <w:rPr>
                <w:i/>
              </w:rPr>
              <w:t>Amministratrice</w:t>
            </w:r>
            <w:proofErr w:type="spellEnd"/>
          </w:p>
        </w:tc>
        <w:tc>
          <w:tcPr>
            <w:tcW w:w="4020" w:type="dxa"/>
            <w:vMerge/>
            <w:tcBorders>
              <w:top w:val="nil"/>
              <w:left w:val="single" w:sz="4" w:space="0" w:color="000000"/>
              <w:bottom w:val="single" w:sz="4" w:space="0" w:color="000000"/>
              <w:right w:val="nil"/>
            </w:tcBorders>
            <w:tcMar>
              <w:top w:w="20" w:type="dxa"/>
              <w:left w:w="20" w:type="dxa"/>
              <w:bottom w:w="100" w:type="dxa"/>
              <w:right w:w="20" w:type="dxa"/>
            </w:tcMar>
            <w:vAlign w:val="center"/>
          </w:tcPr>
          <w:p w14:paraId="56252C69" w14:textId="77777777" w:rsidR="005C7D9A" w:rsidRDefault="005C7D9A">
            <w:pPr>
              <w:widowControl w:val="0"/>
              <w:pBdr>
                <w:top w:val="nil"/>
                <w:left w:val="nil"/>
                <w:bottom w:val="nil"/>
                <w:right w:val="nil"/>
                <w:between w:val="nil"/>
              </w:pBdr>
              <w:ind w:firstLine="0"/>
              <w:jc w:val="left"/>
              <w:rPr>
                <w:i/>
              </w:rPr>
            </w:pPr>
          </w:p>
        </w:tc>
      </w:tr>
      <w:tr w:rsidR="005C7D9A" w14:paraId="7F890DE3" w14:textId="77777777">
        <w:trPr>
          <w:trHeight w:val="252"/>
        </w:trPr>
        <w:tc>
          <w:tcPr>
            <w:tcW w:w="1755" w:type="dxa"/>
            <w:tcBorders>
              <w:top w:val="nil"/>
              <w:left w:val="nil"/>
              <w:bottom w:val="nil"/>
              <w:right w:val="single" w:sz="4" w:space="0" w:color="000000"/>
            </w:tcBorders>
            <w:shd w:val="clear" w:color="auto" w:fill="auto"/>
            <w:tcMar>
              <w:top w:w="20" w:type="dxa"/>
              <w:left w:w="20" w:type="dxa"/>
              <w:bottom w:w="100" w:type="dxa"/>
              <w:right w:w="20" w:type="dxa"/>
            </w:tcMar>
            <w:vAlign w:val="bottom"/>
          </w:tcPr>
          <w:p w14:paraId="1E7D5E45" w14:textId="77777777" w:rsidR="005C7D9A" w:rsidRDefault="00000000">
            <w:pPr>
              <w:widowControl w:val="0"/>
              <w:pBdr>
                <w:top w:val="nil"/>
                <w:left w:val="nil"/>
                <w:bottom w:val="nil"/>
                <w:right w:val="nil"/>
                <w:between w:val="nil"/>
              </w:pBdr>
              <w:spacing w:line="360" w:lineRule="auto"/>
              <w:ind w:firstLine="0"/>
              <w:rPr>
                <w:i/>
              </w:rPr>
            </w:pPr>
            <w:r>
              <w:rPr>
                <w:i/>
              </w:rPr>
              <w:t>Il CEO</w:t>
            </w:r>
          </w:p>
        </w:tc>
        <w:tc>
          <w:tcPr>
            <w:tcW w:w="4020" w:type="dxa"/>
            <w:vMerge/>
            <w:tcBorders>
              <w:top w:val="nil"/>
              <w:left w:val="single" w:sz="4" w:space="0" w:color="000000"/>
              <w:bottom w:val="single" w:sz="4" w:space="0" w:color="000000"/>
              <w:right w:val="nil"/>
            </w:tcBorders>
            <w:tcMar>
              <w:top w:w="20" w:type="dxa"/>
              <w:left w:w="20" w:type="dxa"/>
              <w:bottom w:w="100" w:type="dxa"/>
              <w:right w:w="20" w:type="dxa"/>
            </w:tcMar>
            <w:vAlign w:val="center"/>
          </w:tcPr>
          <w:p w14:paraId="4A963556" w14:textId="77777777" w:rsidR="005C7D9A" w:rsidRDefault="005C7D9A">
            <w:pPr>
              <w:widowControl w:val="0"/>
              <w:pBdr>
                <w:top w:val="nil"/>
                <w:left w:val="nil"/>
                <w:bottom w:val="nil"/>
                <w:right w:val="nil"/>
                <w:between w:val="nil"/>
              </w:pBdr>
              <w:ind w:firstLine="0"/>
              <w:jc w:val="left"/>
              <w:rPr>
                <w:i/>
              </w:rPr>
            </w:pPr>
          </w:p>
        </w:tc>
      </w:tr>
      <w:tr w:rsidR="005C7D9A" w14:paraId="799294A9" w14:textId="77777777">
        <w:trPr>
          <w:trHeight w:val="415"/>
        </w:trPr>
        <w:tc>
          <w:tcPr>
            <w:tcW w:w="1755" w:type="dxa"/>
            <w:tcBorders>
              <w:top w:val="single" w:sz="4" w:space="0" w:color="000000"/>
              <w:left w:val="nil"/>
              <w:bottom w:val="single" w:sz="4" w:space="0" w:color="000000"/>
              <w:right w:val="single" w:sz="4" w:space="0" w:color="000000"/>
            </w:tcBorders>
            <w:shd w:val="clear" w:color="auto" w:fill="auto"/>
            <w:tcMar>
              <w:top w:w="20" w:type="dxa"/>
              <w:left w:w="20" w:type="dxa"/>
              <w:bottom w:w="100" w:type="dxa"/>
              <w:right w:w="20" w:type="dxa"/>
            </w:tcMar>
            <w:vAlign w:val="bottom"/>
          </w:tcPr>
          <w:p w14:paraId="47E6C203" w14:textId="77777777" w:rsidR="005C7D9A" w:rsidRDefault="00000000">
            <w:pPr>
              <w:widowControl w:val="0"/>
              <w:pBdr>
                <w:top w:val="nil"/>
                <w:left w:val="nil"/>
                <w:bottom w:val="nil"/>
                <w:right w:val="nil"/>
                <w:between w:val="nil"/>
              </w:pBdr>
              <w:spacing w:line="360" w:lineRule="auto"/>
              <w:ind w:firstLine="0"/>
              <w:rPr>
                <w:i/>
              </w:rPr>
            </w:pPr>
            <w:r>
              <w:rPr>
                <w:i/>
              </w:rPr>
              <w:t>La CEO</w:t>
            </w:r>
          </w:p>
        </w:tc>
        <w:tc>
          <w:tcPr>
            <w:tcW w:w="4020" w:type="dxa"/>
            <w:vMerge/>
            <w:tcBorders>
              <w:top w:val="nil"/>
              <w:left w:val="single" w:sz="4" w:space="0" w:color="000000"/>
              <w:bottom w:val="single" w:sz="4" w:space="0" w:color="000000"/>
              <w:right w:val="nil"/>
            </w:tcBorders>
            <w:tcMar>
              <w:top w:w="20" w:type="dxa"/>
              <w:left w:w="20" w:type="dxa"/>
              <w:bottom w:w="100" w:type="dxa"/>
              <w:right w:w="20" w:type="dxa"/>
            </w:tcMar>
            <w:vAlign w:val="center"/>
          </w:tcPr>
          <w:p w14:paraId="7AADD35D" w14:textId="77777777" w:rsidR="005C7D9A" w:rsidRDefault="005C7D9A">
            <w:pPr>
              <w:widowControl w:val="0"/>
              <w:pBdr>
                <w:top w:val="nil"/>
                <w:left w:val="nil"/>
                <w:bottom w:val="nil"/>
                <w:right w:val="nil"/>
                <w:between w:val="nil"/>
              </w:pBdr>
              <w:ind w:firstLine="0"/>
              <w:jc w:val="left"/>
              <w:rPr>
                <w:i/>
              </w:rPr>
            </w:pPr>
          </w:p>
        </w:tc>
      </w:tr>
    </w:tbl>
    <w:p w14:paraId="075E1D98" w14:textId="77777777" w:rsidR="005C7D9A" w:rsidRDefault="005C7D9A">
      <w:pPr>
        <w:spacing w:line="360" w:lineRule="auto"/>
        <w:ind w:firstLine="0"/>
        <w:rPr>
          <w:sz w:val="24"/>
          <w:szCs w:val="24"/>
        </w:rPr>
      </w:pPr>
    </w:p>
    <w:p w14:paraId="40A20FFC" w14:textId="77777777" w:rsidR="005C7D9A" w:rsidRDefault="00000000">
      <w:pPr>
        <w:spacing w:line="240" w:lineRule="auto"/>
        <w:ind w:firstLine="0"/>
        <w:rPr>
          <w:sz w:val="24"/>
          <w:szCs w:val="24"/>
        </w:rPr>
      </w:pPr>
      <w:r>
        <w:rPr>
          <w:sz w:val="24"/>
          <w:szCs w:val="24"/>
        </w:rPr>
        <w:t>Table 2 shows, respectively:</w:t>
      </w:r>
    </w:p>
    <w:p w14:paraId="244C0021" w14:textId="77777777" w:rsidR="005C7D9A" w:rsidRDefault="00000000">
      <w:pPr>
        <w:numPr>
          <w:ilvl w:val="0"/>
          <w:numId w:val="4"/>
        </w:numPr>
        <w:spacing w:line="240" w:lineRule="auto"/>
        <w:rPr>
          <w:sz w:val="24"/>
          <w:szCs w:val="24"/>
        </w:rPr>
      </w:pPr>
      <w:r>
        <w:rPr>
          <w:sz w:val="24"/>
          <w:szCs w:val="24"/>
        </w:rPr>
        <w:t xml:space="preserve">the total number of tweets obtained by using single word </w:t>
      </w:r>
      <w:proofErr w:type="gramStart"/>
      <w:r>
        <w:rPr>
          <w:sz w:val="24"/>
          <w:szCs w:val="24"/>
        </w:rPr>
        <w:t>search;</w:t>
      </w:r>
      <w:proofErr w:type="gramEnd"/>
    </w:p>
    <w:p w14:paraId="12ADB3B4" w14:textId="77777777" w:rsidR="005C7D9A" w:rsidRDefault="00000000">
      <w:pPr>
        <w:numPr>
          <w:ilvl w:val="0"/>
          <w:numId w:val="4"/>
        </w:numPr>
        <w:spacing w:line="240" w:lineRule="auto"/>
        <w:rPr>
          <w:sz w:val="24"/>
          <w:szCs w:val="24"/>
        </w:rPr>
      </w:pPr>
      <w:r>
        <w:rPr>
          <w:sz w:val="24"/>
          <w:szCs w:val="24"/>
        </w:rPr>
        <w:t xml:space="preserve">the percentage of tweets related to the first search consistent with the research objective, obtained by analyzing the dataset by </w:t>
      </w:r>
      <w:proofErr w:type="gramStart"/>
      <w:r>
        <w:rPr>
          <w:sz w:val="24"/>
          <w:szCs w:val="24"/>
        </w:rPr>
        <w:t>sampling;</w:t>
      </w:r>
      <w:proofErr w:type="gramEnd"/>
    </w:p>
    <w:p w14:paraId="2CD3BF55" w14:textId="77777777" w:rsidR="005C7D9A" w:rsidRDefault="00000000">
      <w:pPr>
        <w:numPr>
          <w:ilvl w:val="0"/>
          <w:numId w:val="4"/>
        </w:numPr>
        <w:spacing w:line="240" w:lineRule="auto"/>
        <w:rPr>
          <w:sz w:val="24"/>
          <w:szCs w:val="24"/>
        </w:rPr>
      </w:pPr>
      <w:r>
        <w:rPr>
          <w:sz w:val="24"/>
          <w:szCs w:val="24"/>
        </w:rPr>
        <w:t xml:space="preserve">the total number of tweets obtained in second </w:t>
      </w:r>
      <w:proofErr w:type="gramStart"/>
      <w:r>
        <w:rPr>
          <w:sz w:val="24"/>
          <w:szCs w:val="24"/>
        </w:rPr>
        <w:t>search;</w:t>
      </w:r>
      <w:proofErr w:type="gramEnd"/>
    </w:p>
    <w:p w14:paraId="525FE988" w14:textId="77777777" w:rsidR="005C7D9A" w:rsidRDefault="00000000">
      <w:pPr>
        <w:numPr>
          <w:ilvl w:val="0"/>
          <w:numId w:val="4"/>
        </w:numPr>
        <w:spacing w:line="240" w:lineRule="auto"/>
        <w:rPr>
          <w:sz w:val="24"/>
          <w:szCs w:val="24"/>
        </w:rPr>
      </w:pPr>
      <w:r>
        <w:rPr>
          <w:sz w:val="24"/>
          <w:szCs w:val="24"/>
        </w:rPr>
        <w:t>the percentage of tweets from the second extraction compared to the first one.</w:t>
      </w:r>
    </w:p>
    <w:p w14:paraId="448EF573" w14:textId="77777777" w:rsidR="005C7D9A" w:rsidRDefault="00000000">
      <w:pPr>
        <w:spacing w:line="240" w:lineRule="auto"/>
        <w:ind w:firstLine="0"/>
        <w:rPr>
          <w:sz w:val="24"/>
          <w:szCs w:val="24"/>
        </w:rPr>
      </w:pPr>
      <w:r>
        <w:rPr>
          <w:sz w:val="24"/>
          <w:szCs w:val="24"/>
        </w:rPr>
        <w:lastRenderedPageBreak/>
        <w:t xml:space="preserve">In support of the method used to find a meaningful sample we note that the percentage of good tweets downloaded relative to the total is consistent with the percentage found in the manually cleaned sample. </w:t>
      </w:r>
    </w:p>
    <w:p w14:paraId="3B6B1DF6" w14:textId="77777777" w:rsidR="005C7D9A" w:rsidRDefault="005C7D9A">
      <w:pPr>
        <w:spacing w:line="360" w:lineRule="auto"/>
        <w:ind w:firstLine="0"/>
      </w:pPr>
    </w:p>
    <w:p w14:paraId="17693066" w14:textId="77777777" w:rsidR="005C7D9A" w:rsidRDefault="00000000">
      <w:pPr>
        <w:spacing w:after="200" w:line="360" w:lineRule="auto"/>
        <w:ind w:firstLine="0"/>
        <w:jc w:val="center"/>
      </w:pPr>
      <w:r>
        <w:rPr>
          <w:i/>
          <w:color w:val="44546A"/>
        </w:rPr>
        <w:t>Table 2. Number of tweets in the two methods of research.</w:t>
      </w:r>
    </w:p>
    <w:tbl>
      <w:tblPr>
        <w:tblStyle w:val="a4"/>
        <w:tblW w:w="8565" w:type="dxa"/>
        <w:tblInd w:w="-15" w:type="dxa"/>
        <w:tblBorders>
          <w:top w:val="nil"/>
          <w:left w:val="nil"/>
          <w:bottom w:val="nil"/>
          <w:right w:val="nil"/>
          <w:insideH w:val="nil"/>
          <w:insideV w:val="nil"/>
        </w:tblBorders>
        <w:tblLayout w:type="fixed"/>
        <w:tblLook w:val="0600" w:firstRow="0" w:lastRow="0" w:firstColumn="0" w:lastColumn="0" w:noHBand="1" w:noVBand="1"/>
      </w:tblPr>
      <w:tblGrid>
        <w:gridCol w:w="1725"/>
        <w:gridCol w:w="1710"/>
        <w:gridCol w:w="1710"/>
        <w:gridCol w:w="1710"/>
        <w:gridCol w:w="1710"/>
      </w:tblGrid>
      <w:tr w:rsidR="005C7D9A" w14:paraId="0CFA66BA" w14:textId="77777777">
        <w:trPr>
          <w:trHeight w:val="805"/>
        </w:trPr>
        <w:tc>
          <w:tcPr>
            <w:tcW w:w="1725" w:type="dxa"/>
            <w:tcBorders>
              <w:top w:val="nil"/>
              <w:left w:val="nil"/>
              <w:bottom w:val="single" w:sz="8" w:space="0" w:color="000000"/>
              <w:right w:val="nil"/>
            </w:tcBorders>
            <w:tcMar>
              <w:top w:w="20" w:type="dxa"/>
              <w:left w:w="20" w:type="dxa"/>
              <w:bottom w:w="100" w:type="dxa"/>
              <w:right w:w="20" w:type="dxa"/>
            </w:tcMar>
            <w:vAlign w:val="center"/>
          </w:tcPr>
          <w:p w14:paraId="39727E37" w14:textId="77777777" w:rsidR="005C7D9A" w:rsidRDefault="00000000">
            <w:pPr>
              <w:widowControl w:val="0"/>
              <w:pBdr>
                <w:top w:val="nil"/>
                <w:left w:val="nil"/>
                <w:bottom w:val="nil"/>
                <w:right w:val="nil"/>
                <w:between w:val="nil"/>
              </w:pBdr>
              <w:spacing w:line="240" w:lineRule="auto"/>
              <w:ind w:firstLine="0"/>
              <w:jc w:val="left"/>
            </w:pPr>
            <w:r>
              <w:t xml:space="preserve"> </w:t>
            </w:r>
          </w:p>
        </w:tc>
        <w:tc>
          <w:tcPr>
            <w:tcW w:w="1710" w:type="dxa"/>
            <w:tcBorders>
              <w:top w:val="nil"/>
              <w:left w:val="nil"/>
              <w:bottom w:val="single" w:sz="8" w:space="0" w:color="000000"/>
              <w:right w:val="nil"/>
            </w:tcBorders>
            <w:tcMar>
              <w:top w:w="20" w:type="dxa"/>
              <w:left w:w="20" w:type="dxa"/>
              <w:bottom w:w="100" w:type="dxa"/>
              <w:right w:w="20" w:type="dxa"/>
            </w:tcMar>
            <w:vAlign w:val="center"/>
          </w:tcPr>
          <w:p w14:paraId="7860D08E" w14:textId="77777777" w:rsidR="005C7D9A" w:rsidRDefault="00000000">
            <w:pPr>
              <w:widowControl w:val="0"/>
              <w:pBdr>
                <w:top w:val="nil"/>
                <w:left w:val="nil"/>
                <w:bottom w:val="nil"/>
                <w:right w:val="nil"/>
                <w:between w:val="nil"/>
              </w:pBdr>
              <w:spacing w:line="240" w:lineRule="auto"/>
              <w:ind w:firstLine="0"/>
              <w:jc w:val="center"/>
              <w:rPr>
                <w:b/>
              </w:rPr>
            </w:pPr>
            <w:r>
              <w:rPr>
                <w:b/>
              </w:rPr>
              <w:t>(1) Number of tweets, single word research</w:t>
            </w:r>
          </w:p>
        </w:tc>
        <w:tc>
          <w:tcPr>
            <w:tcW w:w="1710" w:type="dxa"/>
            <w:tcBorders>
              <w:top w:val="nil"/>
              <w:left w:val="nil"/>
              <w:bottom w:val="single" w:sz="8" w:space="0" w:color="000000"/>
              <w:right w:val="nil"/>
            </w:tcBorders>
            <w:tcMar>
              <w:top w:w="20" w:type="dxa"/>
              <w:left w:w="20" w:type="dxa"/>
              <w:bottom w:w="100" w:type="dxa"/>
              <w:right w:w="20" w:type="dxa"/>
            </w:tcMar>
            <w:vAlign w:val="center"/>
          </w:tcPr>
          <w:p w14:paraId="352DC9DA" w14:textId="77777777" w:rsidR="005C7D9A" w:rsidRDefault="00000000">
            <w:pPr>
              <w:widowControl w:val="0"/>
              <w:pBdr>
                <w:top w:val="nil"/>
                <w:left w:val="nil"/>
                <w:bottom w:val="nil"/>
                <w:right w:val="nil"/>
                <w:between w:val="nil"/>
              </w:pBdr>
              <w:spacing w:line="240" w:lineRule="auto"/>
              <w:ind w:firstLine="0"/>
              <w:jc w:val="center"/>
              <w:rPr>
                <w:b/>
              </w:rPr>
            </w:pPr>
            <w:r>
              <w:rPr>
                <w:b/>
              </w:rPr>
              <w:t xml:space="preserve">% </w:t>
            </w:r>
            <w:proofErr w:type="gramStart"/>
            <w:r>
              <w:rPr>
                <w:b/>
              </w:rPr>
              <w:t>of</w:t>
            </w:r>
            <w:proofErr w:type="gramEnd"/>
            <w:r>
              <w:rPr>
                <w:b/>
              </w:rPr>
              <w:t xml:space="preserve"> goods tweets first research </w:t>
            </w:r>
          </w:p>
        </w:tc>
        <w:tc>
          <w:tcPr>
            <w:tcW w:w="1710" w:type="dxa"/>
            <w:tcBorders>
              <w:top w:val="nil"/>
              <w:left w:val="nil"/>
              <w:bottom w:val="single" w:sz="8" w:space="0" w:color="000000"/>
              <w:right w:val="nil"/>
            </w:tcBorders>
            <w:tcMar>
              <w:top w:w="20" w:type="dxa"/>
              <w:left w:w="20" w:type="dxa"/>
              <w:bottom w:w="100" w:type="dxa"/>
              <w:right w:w="20" w:type="dxa"/>
            </w:tcMar>
            <w:vAlign w:val="center"/>
          </w:tcPr>
          <w:p w14:paraId="38A58A2F" w14:textId="77777777" w:rsidR="005C7D9A" w:rsidRDefault="00000000">
            <w:pPr>
              <w:widowControl w:val="0"/>
              <w:pBdr>
                <w:top w:val="nil"/>
                <w:left w:val="nil"/>
                <w:bottom w:val="nil"/>
                <w:right w:val="nil"/>
                <w:between w:val="nil"/>
              </w:pBdr>
              <w:spacing w:line="240" w:lineRule="auto"/>
              <w:ind w:firstLine="0"/>
              <w:jc w:val="center"/>
              <w:rPr>
                <w:b/>
              </w:rPr>
            </w:pPr>
            <w:r>
              <w:rPr>
                <w:b/>
              </w:rPr>
              <w:t>(2) Number of tweets, second research</w:t>
            </w:r>
          </w:p>
        </w:tc>
        <w:tc>
          <w:tcPr>
            <w:tcW w:w="1710" w:type="dxa"/>
            <w:tcBorders>
              <w:top w:val="nil"/>
              <w:left w:val="nil"/>
              <w:bottom w:val="single" w:sz="8" w:space="0" w:color="000000"/>
              <w:right w:val="nil"/>
            </w:tcBorders>
            <w:tcMar>
              <w:top w:w="20" w:type="dxa"/>
              <w:left w:w="20" w:type="dxa"/>
              <w:bottom w:w="100" w:type="dxa"/>
              <w:right w:w="20" w:type="dxa"/>
            </w:tcMar>
            <w:vAlign w:val="center"/>
          </w:tcPr>
          <w:p w14:paraId="41B30CAF" w14:textId="77777777" w:rsidR="005C7D9A" w:rsidRDefault="00000000">
            <w:pPr>
              <w:widowControl w:val="0"/>
              <w:pBdr>
                <w:top w:val="nil"/>
                <w:left w:val="nil"/>
                <w:bottom w:val="nil"/>
                <w:right w:val="nil"/>
                <w:between w:val="nil"/>
              </w:pBdr>
              <w:spacing w:line="240" w:lineRule="auto"/>
              <w:ind w:firstLine="0"/>
              <w:jc w:val="center"/>
              <w:rPr>
                <w:b/>
              </w:rPr>
            </w:pPr>
            <w:r>
              <w:rPr>
                <w:b/>
              </w:rPr>
              <w:t>% of tweets from the second extraction compared to the first one (2)</w:t>
            </w:r>
            <w:proofErr w:type="gramStart"/>
            <w:r>
              <w:rPr>
                <w:b/>
              </w:rPr>
              <w:t>/(</w:t>
            </w:r>
            <w:proofErr w:type="gramEnd"/>
            <w:r>
              <w:rPr>
                <w:b/>
              </w:rPr>
              <w:t>1)</w:t>
            </w:r>
          </w:p>
        </w:tc>
      </w:tr>
      <w:tr w:rsidR="005C7D9A" w14:paraId="02C547E3" w14:textId="77777777">
        <w:trPr>
          <w:trHeight w:val="415"/>
        </w:trPr>
        <w:tc>
          <w:tcPr>
            <w:tcW w:w="1725" w:type="dxa"/>
            <w:tcBorders>
              <w:top w:val="nil"/>
              <w:left w:val="nil"/>
              <w:bottom w:val="single" w:sz="4" w:space="0" w:color="000000"/>
              <w:right w:val="single" w:sz="4" w:space="0" w:color="000000"/>
            </w:tcBorders>
            <w:tcMar>
              <w:top w:w="20" w:type="dxa"/>
              <w:left w:w="20" w:type="dxa"/>
              <w:bottom w:w="100" w:type="dxa"/>
              <w:right w:w="20" w:type="dxa"/>
            </w:tcMar>
            <w:vAlign w:val="center"/>
          </w:tcPr>
          <w:p w14:paraId="7D43962E" w14:textId="77777777" w:rsidR="005C7D9A" w:rsidRDefault="00000000">
            <w:pPr>
              <w:widowControl w:val="0"/>
              <w:pBdr>
                <w:top w:val="nil"/>
                <w:left w:val="nil"/>
                <w:bottom w:val="nil"/>
                <w:right w:val="nil"/>
                <w:between w:val="nil"/>
              </w:pBdr>
              <w:spacing w:line="240" w:lineRule="auto"/>
              <w:ind w:firstLine="0"/>
              <w:jc w:val="left"/>
            </w:pPr>
            <w:proofErr w:type="spellStart"/>
            <w:r>
              <w:rPr>
                <w:i/>
              </w:rPr>
              <w:t>Imprenditore</w:t>
            </w:r>
            <w:proofErr w:type="spellEnd"/>
          </w:p>
        </w:tc>
        <w:tc>
          <w:tcPr>
            <w:tcW w:w="1710" w:type="dxa"/>
            <w:tcBorders>
              <w:top w:val="nil"/>
              <w:left w:val="nil"/>
              <w:bottom w:val="nil"/>
              <w:right w:val="nil"/>
            </w:tcBorders>
            <w:tcMar>
              <w:top w:w="20" w:type="dxa"/>
              <w:left w:w="20" w:type="dxa"/>
              <w:bottom w:w="100" w:type="dxa"/>
              <w:right w:w="20" w:type="dxa"/>
            </w:tcMar>
            <w:vAlign w:val="center"/>
          </w:tcPr>
          <w:p w14:paraId="24E54DC9" w14:textId="77777777" w:rsidR="005C7D9A" w:rsidRDefault="00000000">
            <w:pPr>
              <w:spacing w:line="240" w:lineRule="auto"/>
              <w:ind w:firstLine="0"/>
              <w:jc w:val="center"/>
            </w:pPr>
            <w:r>
              <w:t>641,818</w:t>
            </w:r>
          </w:p>
        </w:tc>
        <w:tc>
          <w:tcPr>
            <w:tcW w:w="1710" w:type="dxa"/>
            <w:tcBorders>
              <w:top w:val="nil"/>
              <w:left w:val="nil"/>
              <w:bottom w:val="nil"/>
              <w:right w:val="nil"/>
            </w:tcBorders>
            <w:tcMar>
              <w:top w:w="20" w:type="dxa"/>
              <w:left w:w="20" w:type="dxa"/>
              <w:bottom w:w="100" w:type="dxa"/>
              <w:right w:w="20" w:type="dxa"/>
            </w:tcMar>
            <w:vAlign w:val="center"/>
          </w:tcPr>
          <w:p w14:paraId="0BE5E13A" w14:textId="77777777" w:rsidR="005C7D9A" w:rsidRDefault="00000000">
            <w:pPr>
              <w:spacing w:line="240" w:lineRule="auto"/>
              <w:jc w:val="left"/>
            </w:pPr>
            <w:r>
              <w:t xml:space="preserve">- </w:t>
            </w:r>
          </w:p>
        </w:tc>
        <w:tc>
          <w:tcPr>
            <w:tcW w:w="1710" w:type="dxa"/>
            <w:tcBorders>
              <w:top w:val="nil"/>
              <w:left w:val="nil"/>
              <w:bottom w:val="nil"/>
              <w:right w:val="nil"/>
            </w:tcBorders>
            <w:tcMar>
              <w:top w:w="20" w:type="dxa"/>
              <w:left w:w="20" w:type="dxa"/>
              <w:bottom w:w="100" w:type="dxa"/>
              <w:right w:w="20" w:type="dxa"/>
            </w:tcMar>
            <w:vAlign w:val="center"/>
          </w:tcPr>
          <w:p w14:paraId="0CFE334F" w14:textId="77777777" w:rsidR="005C7D9A" w:rsidRDefault="00000000">
            <w:pPr>
              <w:spacing w:line="240" w:lineRule="auto"/>
              <w:jc w:val="left"/>
            </w:pPr>
            <w:r>
              <w:t>624,217</w:t>
            </w:r>
          </w:p>
        </w:tc>
        <w:tc>
          <w:tcPr>
            <w:tcW w:w="1710" w:type="dxa"/>
            <w:tcBorders>
              <w:top w:val="nil"/>
              <w:left w:val="nil"/>
              <w:bottom w:val="nil"/>
              <w:right w:val="nil"/>
            </w:tcBorders>
            <w:tcMar>
              <w:top w:w="20" w:type="dxa"/>
              <w:left w:w="20" w:type="dxa"/>
              <w:bottom w:w="100" w:type="dxa"/>
              <w:right w:w="20" w:type="dxa"/>
            </w:tcMar>
            <w:vAlign w:val="center"/>
          </w:tcPr>
          <w:p w14:paraId="0F030AE2" w14:textId="77777777" w:rsidR="005C7D9A" w:rsidRDefault="00000000">
            <w:pPr>
              <w:spacing w:line="240" w:lineRule="auto"/>
              <w:jc w:val="left"/>
            </w:pPr>
            <w:r>
              <w:t>97.26%</w:t>
            </w:r>
          </w:p>
        </w:tc>
      </w:tr>
      <w:tr w:rsidR="005C7D9A" w14:paraId="265CE9CF" w14:textId="77777777">
        <w:trPr>
          <w:trHeight w:val="415"/>
        </w:trPr>
        <w:tc>
          <w:tcPr>
            <w:tcW w:w="1725" w:type="dxa"/>
            <w:tcBorders>
              <w:top w:val="nil"/>
              <w:left w:val="nil"/>
              <w:bottom w:val="nil"/>
              <w:right w:val="single" w:sz="4" w:space="0" w:color="000000"/>
            </w:tcBorders>
            <w:tcMar>
              <w:top w:w="20" w:type="dxa"/>
              <w:left w:w="20" w:type="dxa"/>
              <w:bottom w:w="100" w:type="dxa"/>
              <w:right w:w="20" w:type="dxa"/>
            </w:tcMar>
            <w:vAlign w:val="center"/>
          </w:tcPr>
          <w:p w14:paraId="65638363" w14:textId="77777777" w:rsidR="005C7D9A" w:rsidRDefault="00000000">
            <w:pPr>
              <w:spacing w:line="240" w:lineRule="auto"/>
              <w:ind w:firstLine="0"/>
            </w:pPr>
            <w:proofErr w:type="spellStart"/>
            <w:r>
              <w:rPr>
                <w:i/>
              </w:rPr>
              <w:t>Imprenditrice</w:t>
            </w:r>
            <w:proofErr w:type="spellEnd"/>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35B46873" w14:textId="77777777" w:rsidR="005C7D9A" w:rsidRDefault="00000000">
            <w:pPr>
              <w:spacing w:line="240" w:lineRule="auto"/>
              <w:ind w:firstLine="0"/>
              <w:jc w:val="center"/>
            </w:pPr>
            <w:r>
              <w:t>59,097</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6517DB71" w14:textId="77777777" w:rsidR="005C7D9A" w:rsidRDefault="00000000">
            <w:pPr>
              <w:spacing w:line="240" w:lineRule="auto"/>
              <w:jc w:val="left"/>
            </w:pPr>
            <w:r>
              <w:t xml:space="preserve"> -</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5F4A6BD2" w14:textId="77777777" w:rsidR="005C7D9A" w:rsidRDefault="00000000">
            <w:pPr>
              <w:spacing w:line="240" w:lineRule="auto"/>
              <w:jc w:val="left"/>
            </w:pPr>
            <w:r>
              <w:t>51,785</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45173519" w14:textId="77777777" w:rsidR="005C7D9A" w:rsidRDefault="00000000">
            <w:pPr>
              <w:spacing w:line="240" w:lineRule="auto"/>
              <w:jc w:val="left"/>
            </w:pPr>
            <w:r>
              <w:t>87.63%</w:t>
            </w:r>
          </w:p>
        </w:tc>
      </w:tr>
      <w:tr w:rsidR="005C7D9A" w14:paraId="10BF310A" w14:textId="77777777">
        <w:trPr>
          <w:trHeight w:val="415"/>
        </w:trPr>
        <w:tc>
          <w:tcPr>
            <w:tcW w:w="1725" w:type="dxa"/>
            <w:tcBorders>
              <w:top w:val="single" w:sz="4" w:space="0" w:color="000000"/>
              <w:left w:val="nil"/>
              <w:bottom w:val="single" w:sz="4" w:space="0" w:color="000000"/>
              <w:right w:val="single" w:sz="4" w:space="0" w:color="000000"/>
            </w:tcBorders>
            <w:tcMar>
              <w:top w:w="20" w:type="dxa"/>
              <w:left w:w="20" w:type="dxa"/>
              <w:bottom w:w="100" w:type="dxa"/>
              <w:right w:w="20" w:type="dxa"/>
            </w:tcMar>
            <w:vAlign w:val="center"/>
          </w:tcPr>
          <w:p w14:paraId="558268FD" w14:textId="77777777" w:rsidR="005C7D9A" w:rsidRDefault="00000000">
            <w:pPr>
              <w:spacing w:line="240" w:lineRule="auto"/>
              <w:ind w:firstLine="0"/>
            </w:pPr>
            <w:proofErr w:type="spellStart"/>
            <w:r>
              <w:rPr>
                <w:i/>
              </w:rPr>
              <w:t>Direttore</w:t>
            </w:r>
            <w:proofErr w:type="spellEnd"/>
          </w:p>
        </w:tc>
        <w:tc>
          <w:tcPr>
            <w:tcW w:w="1710" w:type="dxa"/>
            <w:tcBorders>
              <w:top w:val="nil"/>
              <w:left w:val="nil"/>
              <w:bottom w:val="nil"/>
              <w:right w:val="nil"/>
            </w:tcBorders>
            <w:tcMar>
              <w:top w:w="20" w:type="dxa"/>
              <w:left w:w="20" w:type="dxa"/>
              <w:bottom w:w="100" w:type="dxa"/>
              <w:right w:w="20" w:type="dxa"/>
            </w:tcMar>
            <w:vAlign w:val="center"/>
          </w:tcPr>
          <w:p w14:paraId="070293FF" w14:textId="77777777" w:rsidR="005C7D9A" w:rsidRDefault="00000000">
            <w:pPr>
              <w:spacing w:line="240" w:lineRule="auto"/>
              <w:ind w:firstLine="0"/>
              <w:jc w:val="center"/>
            </w:pPr>
            <w:r>
              <w:t>2,104,964</w:t>
            </w:r>
          </w:p>
        </w:tc>
        <w:tc>
          <w:tcPr>
            <w:tcW w:w="1710" w:type="dxa"/>
            <w:tcBorders>
              <w:top w:val="nil"/>
              <w:left w:val="nil"/>
              <w:bottom w:val="nil"/>
              <w:right w:val="nil"/>
            </w:tcBorders>
            <w:tcMar>
              <w:top w:w="20" w:type="dxa"/>
              <w:left w:w="20" w:type="dxa"/>
              <w:bottom w:w="100" w:type="dxa"/>
              <w:right w:w="20" w:type="dxa"/>
            </w:tcMar>
            <w:vAlign w:val="center"/>
          </w:tcPr>
          <w:p w14:paraId="08F44833" w14:textId="77777777" w:rsidR="005C7D9A" w:rsidRDefault="00000000">
            <w:pPr>
              <w:spacing w:line="240" w:lineRule="auto"/>
              <w:jc w:val="left"/>
            </w:pPr>
            <w:r>
              <w:t>20%</w:t>
            </w:r>
          </w:p>
        </w:tc>
        <w:tc>
          <w:tcPr>
            <w:tcW w:w="1710" w:type="dxa"/>
            <w:tcBorders>
              <w:top w:val="nil"/>
              <w:left w:val="nil"/>
              <w:bottom w:val="nil"/>
              <w:right w:val="nil"/>
            </w:tcBorders>
            <w:tcMar>
              <w:top w:w="20" w:type="dxa"/>
              <w:left w:w="20" w:type="dxa"/>
              <w:bottom w:w="100" w:type="dxa"/>
              <w:right w:w="20" w:type="dxa"/>
            </w:tcMar>
            <w:vAlign w:val="center"/>
          </w:tcPr>
          <w:p w14:paraId="1E828699" w14:textId="77777777" w:rsidR="005C7D9A" w:rsidRDefault="00000000">
            <w:pPr>
              <w:spacing w:line="240" w:lineRule="auto"/>
              <w:jc w:val="left"/>
            </w:pPr>
            <w:r>
              <w:t>198,259</w:t>
            </w:r>
          </w:p>
        </w:tc>
        <w:tc>
          <w:tcPr>
            <w:tcW w:w="1710" w:type="dxa"/>
            <w:tcBorders>
              <w:top w:val="nil"/>
              <w:left w:val="nil"/>
              <w:bottom w:val="nil"/>
              <w:right w:val="nil"/>
            </w:tcBorders>
            <w:tcMar>
              <w:top w:w="20" w:type="dxa"/>
              <w:left w:w="20" w:type="dxa"/>
              <w:bottom w:w="100" w:type="dxa"/>
              <w:right w:w="20" w:type="dxa"/>
            </w:tcMar>
            <w:vAlign w:val="center"/>
          </w:tcPr>
          <w:p w14:paraId="10726CA8" w14:textId="77777777" w:rsidR="005C7D9A" w:rsidRDefault="00000000">
            <w:pPr>
              <w:spacing w:line="240" w:lineRule="auto"/>
              <w:jc w:val="left"/>
            </w:pPr>
            <w:r>
              <w:t>9.42%</w:t>
            </w:r>
          </w:p>
        </w:tc>
      </w:tr>
      <w:tr w:rsidR="005C7D9A" w14:paraId="39661B43" w14:textId="77777777">
        <w:trPr>
          <w:trHeight w:val="415"/>
        </w:trPr>
        <w:tc>
          <w:tcPr>
            <w:tcW w:w="1725" w:type="dxa"/>
            <w:tcBorders>
              <w:top w:val="nil"/>
              <w:left w:val="nil"/>
              <w:bottom w:val="nil"/>
              <w:right w:val="single" w:sz="4" w:space="0" w:color="000000"/>
            </w:tcBorders>
            <w:tcMar>
              <w:top w:w="20" w:type="dxa"/>
              <w:left w:w="20" w:type="dxa"/>
              <w:bottom w:w="100" w:type="dxa"/>
              <w:right w:w="20" w:type="dxa"/>
            </w:tcMar>
            <w:vAlign w:val="center"/>
          </w:tcPr>
          <w:p w14:paraId="11C91577" w14:textId="77777777" w:rsidR="005C7D9A" w:rsidRDefault="00000000">
            <w:pPr>
              <w:spacing w:line="240" w:lineRule="auto"/>
              <w:ind w:firstLine="0"/>
            </w:pPr>
            <w:proofErr w:type="spellStart"/>
            <w:r>
              <w:rPr>
                <w:i/>
              </w:rPr>
              <w:t>Direttrice</w:t>
            </w:r>
            <w:proofErr w:type="spellEnd"/>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6A493EFC" w14:textId="77777777" w:rsidR="005C7D9A" w:rsidRDefault="00000000">
            <w:pPr>
              <w:spacing w:line="240" w:lineRule="auto"/>
              <w:ind w:firstLine="0"/>
              <w:jc w:val="center"/>
            </w:pPr>
            <w:r>
              <w:t>133,801</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170231B3" w14:textId="77777777" w:rsidR="005C7D9A" w:rsidRDefault="00000000">
            <w:pPr>
              <w:spacing w:line="240" w:lineRule="auto"/>
              <w:jc w:val="left"/>
            </w:pPr>
            <w:r>
              <w:t xml:space="preserve">11% </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4A3965EF" w14:textId="77777777" w:rsidR="005C7D9A" w:rsidRDefault="00000000">
            <w:pPr>
              <w:spacing w:line="240" w:lineRule="auto"/>
              <w:jc w:val="left"/>
            </w:pPr>
            <w:r>
              <w:t>5,808</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17086DB9" w14:textId="77777777" w:rsidR="005C7D9A" w:rsidRDefault="00000000">
            <w:pPr>
              <w:spacing w:line="240" w:lineRule="auto"/>
              <w:jc w:val="left"/>
            </w:pPr>
            <w:r>
              <w:t>4.34%</w:t>
            </w:r>
          </w:p>
        </w:tc>
      </w:tr>
      <w:tr w:rsidR="005C7D9A" w14:paraId="0AAAF2F9" w14:textId="77777777">
        <w:trPr>
          <w:trHeight w:val="415"/>
        </w:trPr>
        <w:tc>
          <w:tcPr>
            <w:tcW w:w="1725" w:type="dxa"/>
            <w:tcBorders>
              <w:top w:val="single" w:sz="4" w:space="0" w:color="000000"/>
              <w:left w:val="nil"/>
              <w:bottom w:val="nil"/>
              <w:right w:val="single" w:sz="4" w:space="0" w:color="000000"/>
            </w:tcBorders>
            <w:tcMar>
              <w:top w:w="20" w:type="dxa"/>
              <w:left w:w="20" w:type="dxa"/>
              <w:bottom w:w="100" w:type="dxa"/>
              <w:right w:w="20" w:type="dxa"/>
            </w:tcMar>
            <w:vAlign w:val="center"/>
          </w:tcPr>
          <w:p w14:paraId="1D30B701" w14:textId="77777777" w:rsidR="005C7D9A" w:rsidRDefault="00000000">
            <w:pPr>
              <w:spacing w:line="240" w:lineRule="auto"/>
              <w:ind w:firstLine="0"/>
            </w:pPr>
            <w:proofErr w:type="spellStart"/>
            <w:r>
              <w:rPr>
                <w:i/>
              </w:rPr>
              <w:t>Amministratore</w:t>
            </w:r>
            <w:proofErr w:type="spellEnd"/>
          </w:p>
        </w:tc>
        <w:tc>
          <w:tcPr>
            <w:tcW w:w="1710" w:type="dxa"/>
            <w:tcBorders>
              <w:top w:val="nil"/>
              <w:left w:val="nil"/>
              <w:bottom w:val="nil"/>
              <w:right w:val="nil"/>
            </w:tcBorders>
            <w:tcMar>
              <w:top w:w="20" w:type="dxa"/>
              <w:left w:w="20" w:type="dxa"/>
              <w:bottom w:w="100" w:type="dxa"/>
              <w:right w:w="20" w:type="dxa"/>
            </w:tcMar>
            <w:vAlign w:val="center"/>
          </w:tcPr>
          <w:p w14:paraId="70E956C9" w14:textId="77777777" w:rsidR="005C7D9A" w:rsidRDefault="00000000">
            <w:pPr>
              <w:spacing w:line="240" w:lineRule="auto"/>
              <w:ind w:firstLine="0"/>
              <w:jc w:val="center"/>
            </w:pPr>
            <w:r>
              <w:t>311,126</w:t>
            </w:r>
          </w:p>
        </w:tc>
        <w:tc>
          <w:tcPr>
            <w:tcW w:w="1710" w:type="dxa"/>
            <w:tcBorders>
              <w:top w:val="nil"/>
              <w:left w:val="nil"/>
              <w:bottom w:val="nil"/>
              <w:right w:val="nil"/>
            </w:tcBorders>
            <w:tcMar>
              <w:top w:w="20" w:type="dxa"/>
              <w:left w:w="20" w:type="dxa"/>
              <w:bottom w:w="100" w:type="dxa"/>
              <w:right w:w="20" w:type="dxa"/>
            </w:tcMar>
            <w:vAlign w:val="center"/>
          </w:tcPr>
          <w:p w14:paraId="42B34A6A" w14:textId="77777777" w:rsidR="005C7D9A" w:rsidRDefault="00000000">
            <w:pPr>
              <w:spacing w:line="240" w:lineRule="auto"/>
              <w:jc w:val="left"/>
            </w:pPr>
            <w:r>
              <w:t>38%</w:t>
            </w:r>
          </w:p>
        </w:tc>
        <w:tc>
          <w:tcPr>
            <w:tcW w:w="1710" w:type="dxa"/>
            <w:tcBorders>
              <w:top w:val="nil"/>
              <w:left w:val="nil"/>
              <w:bottom w:val="nil"/>
              <w:right w:val="nil"/>
            </w:tcBorders>
            <w:tcMar>
              <w:top w:w="20" w:type="dxa"/>
              <w:left w:w="20" w:type="dxa"/>
              <w:bottom w:w="100" w:type="dxa"/>
              <w:right w:w="20" w:type="dxa"/>
            </w:tcMar>
            <w:vAlign w:val="center"/>
          </w:tcPr>
          <w:p w14:paraId="733AA5D6" w14:textId="77777777" w:rsidR="005C7D9A" w:rsidRDefault="00000000">
            <w:pPr>
              <w:spacing w:line="240" w:lineRule="auto"/>
              <w:jc w:val="left"/>
            </w:pPr>
            <w:r>
              <w:t>115,310</w:t>
            </w:r>
          </w:p>
        </w:tc>
        <w:tc>
          <w:tcPr>
            <w:tcW w:w="1710" w:type="dxa"/>
            <w:tcBorders>
              <w:top w:val="nil"/>
              <w:left w:val="nil"/>
              <w:bottom w:val="nil"/>
              <w:right w:val="nil"/>
            </w:tcBorders>
            <w:tcMar>
              <w:top w:w="20" w:type="dxa"/>
              <w:left w:w="20" w:type="dxa"/>
              <w:bottom w:w="100" w:type="dxa"/>
              <w:right w:w="20" w:type="dxa"/>
            </w:tcMar>
            <w:vAlign w:val="center"/>
          </w:tcPr>
          <w:p w14:paraId="2BF90113" w14:textId="77777777" w:rsidR="005C7D9A" w:rsidRDefault="00000000">
            <w:pPr>
              <w:spacing w:line="240" w:lineRule="auto"/>
              <w:jc w:val="left"/>
            </w:pPr>
            <w:r>
              <w:t>37.06%</w:t>
            </w:r>
          </w:p>
        </w:tc>
      </w:tr>
      <w:tr w:rsidR="005C7D9A" w14:paraId="29E7B67E" w14:textId="77777777">
        <w:trPr>
          <w:trHeight w:val="415"/>
        </w:trPr>
        <w:tc>
          <w:tcPr>
            <w:tcW w:w="1725" w:type="dxa"/>
            <w:tcBorders>
              <w:top w:val="single" w:sz="4" w:space="0" w:color="000000"/>
              <w:left w:val="nil"/>
              <w:bottom w:val="single" w:sz="4" w:space="0" w:color="000000"/>
              <w:right w:val="single" w:sz="4" w:space="0" w:color="000000"/>
            </w:tcBorders>
            <w:tcMar>
              <w:top w:w="20" w:type="dxa"/>
              <w:left w:w="20" w:type="dxa"/>
              <w:bottom w:w="100" w:type="dxa"/>
              <w:right w:w="20" w:type="dxa"/>
            </w:tcMar>
            <w:vAlign w:val="center"/>
          </w:tcPr>
          <w:p w14:paraId="5B37EF5B" w14:textId="77777777" w:rsidR="005C7D9A" w:rsidRDefault="00000000">
            <w:pPr>
              <w:spacing w:line="240" w:lineRule="auto"/>
              <w:ind w:firstLine="0"/>
            </w:pPr>
            <w:proofErr w:type="spellStart"/>
            <w:r>
              <w:rPr>
                <w:i/>
              </w:rPr>
              <w:t>Amministratrice</w:t>
            </w:r>
            <w:proofErr w:type="spellEnd"/>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0BE6590B" w14:textId="77777777" w:rsidR="005C7D9A" w:rsidRDefault="00000000">
            <w:pPr>
              <w:spacing w:line="240" w:lineRule="auto"/>
              <w:ind w:firstLine="0"/>
              <w:jc w:val="center"/>
            </w:pPr>
            <w:r>
              <w:t>29,479</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1EF2AC73" w14:textId="77777777" w:rsidR="005C7D9A" w:rsidRDefault="00000000">
            <w:pPr>
              <w:spacing w:line="240" w:lineRule="auto"/>
              <w:jc w:val="left"/>
            </w:pPr>
            <w:r>
              <w:t xml:space="preserve">13% </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5ECE8D1E" w14:textId="77777777" w:rsidR="005C7D9A" w:rsidRDefault="00000000">
            <w:pPr>
              <w:spacing w:line="240" w:lineRule="auto"/>
              <w:jc w:val="left"/>
            </w:pPr>
            <w:r>
              <w:t>1,442</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3508B3D5" w14:textId="77777777" w:rsidR="005C7D9A" w:rsidRDefault="00000000">
            <w:pPr>
              <w:spacing w:line="240" w:lineRule="auto"/>
              <w:jc w:val="left"/>
            </w:pPr>
            <w:r>
              <w:t>4.89%</w:t>
            </w:r>
          </w:p>
        </w:tc>
      </w:tr>
      <w:tr w:rsidR="005C7D9A" w14:paraId="64FCACDE" w14:textId="77777777">
        <w:trPr>
          <w:trHeight w:val="415"/>
        </w:trPr>
        <w:tc>
          <w:tcPr>
            <w:tcW w:w="1725" w:type="dxa"/>
            <w:tcBorders>
              <w:top w:val="nil"/>
              <w:left w:val="nil"/>
              <w:bottom w:val="nil"/>
              <w:right w:val="single" w:sz="4" w:space="0" w:color="000000"/>
            </w:tcBorders>
            <w:tcMar>
              <w:top w:w="20" w:type="dxa"/>
              <w:left w:w="20" w:type="dxa"/>
              <w:bottom w:w="100" w:type="dxa"/>
              <w:right w:w="20" w:type="dxa"/>
            </w:tcMar>
            <w:vAlign w:val="center"/>
          </w:tcPr>
          <w:p w14:paraId="3950B785" w14:textId="77777777" w:rsidR="005C7D9A" w:rsidRDefault="00000000">
            <w:pPr>
              <w:spacing w:line="240" w:lineRule="auto"/>
              <w:ind w:firstLine="0"/>
            </w:pPr>
            <w:r>
              <w:rPr>
                <w:i/>
              </w:rPr>
              <w:t>Il CEO</w:t>
            </w:r>
          </w:p>
        </w:tc>
        <w:tc>
          <w:tcPr>
            <w:tcW w:w="1710" w:type="dxa"/>
            <w:tcBorders>
              <w:top w:val="nil"/>
              <w:left w:val="nil"/>
              <w:bottom w:val="nil"/>
              <w:right w:val="nil"/>
            </w:tcBorders>
            <w:tcMar>
              <w:top w:w="20" w:type="dxa"/>
              <w:left w:w="20" w:type="dxa"/>
              <w:bottom w:w="100" w:type="dxa"/>
              <w:right w:w="20" w:type="dxa"/>
            </w:tcMar>
            <w:vAlign w:val="center"/>
          </w:tcPr>
          <w:p w14:paraId="689D488C" w14:textId="77777777" w:rsidR="005C7D9A" w:rsidRDefault="00000000">
            <w:pPr>
              <w:spacing w:line="240" w:lineRule="auto"/>
              <w:ind w:firstLine="0"/>
              <w:jc w:val="center"/>
            </w:pPr>
            <w:r>
              <w:t>95,010</w:t>
            </w:r>
          </w:p>
        </w:tc>
        <w:tc>
          <w:tcPr>
            <w:tcW w:w="1710" w:type="dxa"/>
            <w:tcBorders>
              <w:top w:val="nil"/>
              <w:left w:val="nil"/>
              <w:bottom w:val="nil"/>
              <w:right w:val="nil"/>
            </w:tcBorders>
            <w:tcMar>
              <w:top w:w="20" w:type="dxa"/>
              <w:left w:w="20" w:type="dxa"/>
              <w:bottom w:w="100" w:type="dxa"/>
              <w:right w:w="20" w:type="dxa"/>
            </w:tcMar>
            <w:vAlign w:val="center"/>
          </w:tcPr>
          <w:p w14:paraId="74F51DE4" w14:textId="77777777" w:rsidR="005C7D9A" w:rsidRDefault="00000000">
            <w:pPr>
              <w:spacing w:line="240" w:lineRule="auto"/>
              <w:jc w:val="left"/>
            </w:pPr>
            <w:r>
              <w:t>15%</w:t>
            </w:r>
          </w:p>
        </w:tc>
        <w:tc>
          <w:tcPr>
            <w:tcW w:w="1710" w:type="dxa"/>
            <w:tcBorders>
              <w:top w:val="nil"/>
              <w:left w:val="nil"/>
              <w:bottom w:val="nil"/>
              <w:right w:val="nil"/>
            </w:tcBorders>
            <w:tcMar>
              <w:top w:w="20" w:type="dxa"/>
              <w:left w:w="20" w:type="dxa"/>
              <w:bottom w:w="100" w:type="dxa"/>
              <w:right w:w="20" w:type="dxa"/>
            </w:tcMar>
            <w:vAlign w:val="center"/>
          </w:tcPr>
          <w:p w14:paraId="7A889768" w14:textId="77777777" w:rsidR="005C7D9A" w:rsidRDefault="00000000">
            <w:pPr>
              <w:spacing w:line="240" w:lineRule="auto"/>
              <w:jc w:val="left"/>
            </w:pPr>
            <w:r>
              <w:t>8,451</w:t>
            </w:r>
          </w:p>
        </w:tc>
        <w:tc>
          <w:tcPr>
            <w:tcW w:w="1710" w:type="dxa"/>
            <w:tcBorders>
              <w:top w:val="nil"/>
              <w:left w:val="nil"/>
              <w:bottom w:val="nil"/>
              <w:right w:val="nil"/>
            </w:tcBorders>
            <w:tcMar>
              <w:top w:w="20" w:type="dxa"/>
              <w:left w:w="20" w:type="dxa"/>
              <w:bottom w:w="100" w:type="dxa"/>
              <w:right w:w="20" w:type="dxa"/>
            </w:tcMar>
            <w:vAlign w:val="center"/>
          </w:tcPr>
          <w:p w14:paraId="65255A0E" w14:textId="77777777" w:rsidR="005C7D9A" w:rsidRDefault="00000000">
            <w:pPr>
              <w:spacing w:line="240" w:lineRule="auto"/>
              <w:jc w:val="left"/>
            </w:pPr>
            <w:r>
              <w:t>8.89%</w:t>
            </w:r>
          </w:p>
        </w:tc>
      </w:tr>
      <w:tr w:rsidR="005C7D9A" w14:paraId="2CC5178C" w14:textId="77777777">
        <w:trPr>
          <w:trHeight w:val="415"/>
        </w:trPr>
        <w:tc>
          <w:tcPr>
            <w:tcW w:w="1725" w:type="dxa"/>
            <w:tcBorders>
              <w:top w:val="single" w:sz="4" w:space="0" w:color="000000"/>
              <w:left w:val="nil"/>
              <w:bottom w:val="single" w:sz="4" w:space="0" w:color="000000"/>
              <w:right w:val="single" w:sz="4" w:space="0" w:color="000000"/>
            </w:tcBorders>
            <w:tcMar>
              <w:top w:w="20" w:type="dxa"/>
              <w:left w:w="20" w:type="dxa"/>
              <w:bottom w:w="100" w:type="dxa"/>
              <w:right w:w="20" w:type="dxa"/>
            </w:tcMar>
            <w:vAlign w:val="center"/>
          </w:tcPr>
          <w:p w14:paraId="4C809C0F" w14:textId="77777777" w:rsidR="005C7D9A" w:rsidRDefault="00000000">
            <w:pPr>
              <w:spacing w:line="240" w:lineRule="auto"/>
              <w:ind w:firstLine="0"/>
            </w:pPr>
            <w:r>
              <w:rPr>
                <w:i/>
              </w:rPr>
              <w:t>La CEO</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7CEFDC5D" w14:textId="77777777" w:rsidR="005C7D9A" w:rsidRDefault="00000000">
            <w:pPr>
              <w:spacing w:line="240" w:lineRule="auto"/>
              <w:jc w:val="left"/>
            </w:pPr>
            <w:r>
              <w:t>3,319</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18E5D1BA" w14:textId="77777777" w:rsidR="005C7D9A" w:rsidRDefault="00000000">
            <w:pPr>
              <w:spacing w:line="240" w:lineRule="auto"/>
              <w:jc w:val="left"/>
            </w:pPr>
            <w:r>
              <w:t>10%</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43AB7C73" w14:textId="77777777" w:rsidR="005C7D9A" w:rsidRDefault="00000000">
            <w:pPr>
              <w:spacing w:line="240" w:lineRule="auto"/>
              <w:jc w:val="left"/>
            </w:pPr>
            <w:r>
              <w:t>190</w:t>
            </w:r>
          </w:p>
        </w:tc>
        <w:tc>
          <w:tcPr>
            <w:tcW w:w="1710" w:type="dxa"/>
            <w:tcBorders>
              <w:top w:val="single" w:sz="4" w:space="0" w:color="000000"/>
              <w:left w:val="nil"/>
              <w:bottom w:val="single" w:sz="4" w:space="0" w:color="000000"/>
              <w:right w:val="nil"/>
            </w:tcBorders>
            <w:tcMar>
              <w:top w:w="20" w:type="dxa"/>
              <w:left w:w="20" w:type="dxa"/>
              <w:bottom w:w="100" w:type="dxa"/>
              <w:right w:w="20" w:type="dxa"/>
            </w:tcMar>
            <w:vAlign w:val="center"/>
          </w:tcPr>
          <w:p w14:paraId="24D2243E" w14:textId="77777777" w:rsidR="005C7D9A" w:rsidRDefault="00000000">
            <w:pPr>
              <w:spacing w:line="240" w:lineRule="auto"/>
              <w:jc w:val="left"/>
            </w:pPr>
            <w:r>
              <w:t>5.72%</w:t>
            </w:r>
          </w:p>
        </w:tc>
      </w:tr>
    </w:tbl>
    <w:p w14:paraId="2025121B" w14:textId="77777777" w:rsidR="005C7D9A" w:rsidRDefault="005C7D9A">
      <w:pPr>
        <w:spacing w:line="360" w:lineRule="auto"/>
        <w:ind w:firstLine="0"/>
        <w:rPr>
          <w:sz w:val="24"/>
          <w:szCs w:val="24"/>
        </w:rPr>
      </w:pPr>
    </w:p>
    <w:p w14:paraId="49344AC8" w14:textId="77777777" w:rsidR="005C7D9A" w:rsidRDefault="00000000">
      <w:pPr>
        <w:spacing w:line="240" w:lineRule="auto"/>
        <w:ind w:firstLine="0"/>
        <w:rPr>
          <w:sz w:val="24"/>
          <w:szCs w:val="24"/>
        </w:rPr>
      </w:pPr>
      <w:r>
        <w:rPr>
          <w:sz w:val="24"/>
          <w:szCs w:val="24"/>
        </w:rPr>
        <w:t xml:space="preserve">To be sure that the final sample of tweets is clean of the noise encountered from the first download, an additional sample of data was downloaded for manual analysis; this sample was found to be relevant to the purpose of the research and related to the firm's environment. </w:t>
      </w:r>
    </w:p>
    <w:p w14:paraId="7625C49A" w14:textId="77777777" w:rsidR="005C7D9A" w:rsidRDefault="00000000">
      <w:pPr>
        <w:spacing w:line="240" w:lineRule="auto"/>
        <w:ind w:firstLine="0"/>
        <w:rPr>
          <w:sz w:val="24"/>
          <w:szCs w:val="24"/>
        </w:rPr>
      </w:pPr>
      <w:r>
        <w:rPr>
          <w:sz w:val="24"/>
          <w:szCs w:val="24"/>
        </w:rPr>
        <w:t>Initially, the total number of tweets related to the four analyzed terms, male and female, was counted. Then the percentage of use of the female term was calculated for each term, as the ratio of the total number of tweets detected for the female term to the total number of tweets detected for both genders. The results are shown in Table 1 and Table 2.</w:t>
      </w:r>
    </w:p>
    <w:p w14:paraId="21F44201" w14:textId="77777777" w:rsidR="005C7D9A" w:rsidRDefault="005C7D9A">
      <w:pPr>
        <w:spacing w:line="360" w:lineRule="auto"/>
        <w:ind w:left="1440" w:firstLine="0"/>
      </w:pPr>
    </w:p>
    <w:p w14:paraId="3294F628" w14:textId="77777777" w:rsidR="005C7D9A" w:rsidRDefault="00000000">
      <w:pPr>
        <w:spacing w:line="360" w:lineRule="auto"/>
        <w:ind w:firstLine="0"/>
        <w:rPr>
          <w:b/>
          <w:sz w:val="24"/>
          <w:szCs w:val="24"/>
          <w:highlight w:val="yellow"/>
        </w:rPr>
      </w:pPr>
      <w:r>
        <w:rPr>
          <w:b/>
          <w:sz w:val="24"/>
          <w:szCs w:val="24"/>
        </w:rPr>
        <w:t xml:space="preserve">5. </w:t>
      </w:r>
      <w:r>
        <w:rPr>
          <w:b/>
          <w:sz w:val="24"/>
          <w:szCs w:val="24"/>
        </w:rPr>
        <w:tab/>
        <w:t>Methodology</w:t>
      </w:r>
    </w:p>
    <w:p w14:paraId="17B4358D" w14:textId="77777777" w:rsidR="005C7D9A" w:rsidRDefault="00000000">
      <w:pPr>
        <w:spacing w:line="240" w:lineRule="auto"/>
        <w:rPr>
          <w:sz w:val="24"/>
          <w:szCs w:val="24"/>
        </w:rPr>
      </w:pPr>
      <w:r>
        <w:rPr>
          <w:sz w:val="24"/>
          <w:szCs w:val="24"/>
        </w:rPr>
        <w:t>We perform sentiment analysis directly on Italian text. We employ FEEL-IT, a BERT-based architecture model (</w:t>
      </w:r>
      <w:proofErr w:type="spellStart"/>
      <w:r>
        <w:rPr>
          <w:sz w:val="24"/>
          <w:szCs w:val="24"/>
        </w:rPr>
        <w:t>Roccabruna</w:t>
      </w:r>
      <w:proofErr w:type="spellEnd"/>
      <w:r>
        <w:rPr>
          <w:sz w:val="24"/>
          <w:szCs w:val="24"/>
        </w:rPr>
        <w:t xml:space="preserve"> et al. 2022). FEEL-IT is a sentiment classifier that originated from </w:t>
      </w:r>
      <w:proofErr w:type="spellStart"/>
      <w:r>
        <w:rPr>
          <w:sz w:val="24"/>
          <w:szCs w:val="24"/>
        </w:rPr>
        <w:t>UmBERTo</w:t>
      </w:r>
      <w:proofErr w:type="spellEnd"/>
      <w:r>
        <w:rPr>
          <w:sz w:val="24"/>
          <w:szCs w:val="24"/>
        </w:rPr>
        <w:t xml:space="preserve">, it was pre-trained on </w:t>
      </w:r>
      <w:proofErr w:type="spellStart"/>
      <w:r>
        <w:rPr>
          <w:sz w:val="24"/>
          <w:szCs w:val="24"/>
        </w:rPr>
        <w:t>Commoncrawl</w:t>
      </w:r>
      <w:proofErr w:type="spellEnd"/>
      <w:r>
        <w:rPr>
          <w:sz w:val="24"/>
          <w:szCs w:val="24"/>
        </w:rPr>
        <w:t xml:space="preserve"> ITA (corpus not related to social media) and inherits the architecture from </w:t>
      </w:r>
      <w:proofErr w:type="spellStart"/>
      <w:r>
        <w:rPr>
          <w:sz w:val="24"/>
          <w:szCs w:val="24"/>
        </w:rPr>
        <w:t>RoBERTa</w:t>
      </w:r>
      <w:proofErr w:type="spellEnd"/>
      <w:r>
        <w:rPr>
          <w:sz w:val="24"/>
          <w:szCs w:val="24"/>
        </w:rPr>
        <w:t xml:space="preserve"> (</w:t>
      </w:r>
      <w:proofErr w:type="spellStart"/>
      <w:r>
        <w:rPr>
          <w:sz w:val="24"/>
          <w:szCs w:val="24"/>
        </w:rPr>
        <w:t>Bellodi</w:t>
      </w:r>
      <w:proofErr w:type="spellEnd"/>
      <w:r>
        <w:rPr>
          <w:sz w:val="24"/>
          <w:szCs w:val="24"/>
        </w:rPr>
        <w:t xml:space="preserve"> et al. 2022). The model has then trained again by utilizing the FEEL-IT corpus, which was labelled with four non-neutral emotions: anger, fear, joy, and sadness (Ekman 1992). Joy is associated with the positive class, while anger, fear, and sadness are associated with the negative class</w:t>
      </w:r>
      <w:r>
        <w:rPr>
          <w:sz w:val="24"/>
          <w:szCs w:val="24"/>
          <w:vertAlign w:val="superscript"/>
        </w:rPr>
        <w:footnoteReference w:id="7"/>
      </w:r>
      <w:r>
        <w:rPr>
          <w:sz w:val="24"/>
          <w:szCs w:val="24"/>
        </w:rPr>
        <w:t xml:space="preserve">. The model applied to Italian text </w:t>
      </w:r>
      <w:proofErr w:type="spellStart"/>
      <w:r>
        <w:rPr>
          <w:sz w:val="24"/>
          <w:szCs w:val="24"/>
        </w:rPr>
        <w:t>categorises</w:t>
      </w:r>
      <w:proofErr w:type="spellEnd"/>
      <w:r>
        <w:rPr>
          <w:sz w:val="24"/>
          <w:szCs w:val="24"/>
        </w:rPr>
        <w:t xml:space="preserve"> tweets into positive and negative, excluding the neutral class.</w:t>
      </w:r>
    </w:p>
    <w:p w14:paraId="77770D9A" w14:textId="77777777" w:rsidR="005C7D9A" w:rsidRDefault="00000000">
      <w:pPr>
        <w:spacing w:line="240" w:lineRule="auto"/>
        <w:rPr>
          <w:sz w:val="24"/>
          <w:szCs w:val="24"/>
        </w:rPr>
      </w:pPr>
      <w:r>
        <w:rPr>
          <w:sz w:val="24"/>
          <w:szCs w:val="24"/>
        </w:rPr>
        <w:lastRenderedPageBreak/>
        <w:t>Before using the sentiment analysis algorithm, the text of the tweets was analyzed. We clean the tweet text as symbols could cause issues for the sentiment algorithm. We eliminated URLs, anonymized mentions (replacing @specific_author_name with @user), eliminated symbols such as "\n", "\</w:t>
      </w:r>
      <w:proofErr w:type="spellStart"/>
      <w:r>
        <w:rPr>
          <w:sz w:val="24"/>
          <w:szCs w:val="24"/>
        </w:rPr>
        <w:t>nn</w:t>
      </w:r>
      <w:proofErr w:type="spellEnd"/>
      <w:r>
        <w:rPr>
          <w:sz w:val="24"/>
          <w:szCs w:val="24"/>
        </w:rPr>
        <w:t>", "@", " - ", " _ ", "\.", "/", "#", "&amp;", "amp", and eliminated any double spaces present in the text.</w:t>
      </w:r>
    </w:p>
    <w:p w14:paraId="2D51D3AB" w14:textId="77777777" w:rsidR="005C7D9A" w:rsidRDefault="005C7D9A">
      <w:pPr>
        <w:spacing w:line="360" w:lineRule="auto"/>
        <w:rPr>
          <w:sz w:val="24"/>
          <w:szCs w:val="24"/>
        </w:rPr>
      </w:pPr>
    </w:p>
    <w:p w14:paraId="37321160" w14:textId="77777777" w:rsidR="005C7D9A" w:rsidRDefault="00000000">
      <w:pPr>
        <w:spacing w:line="360" w:lineRule="auto"/>
        <w:ind w:firstLine="0"/>
        <w:rPr>
          <w:b/>
          <w:sz w:val="24"/>
          <w:szCs w:val="24"/>
        </w:rPr>
      </w:pPr>
      <w:r>
        <w:rPr>
          <w:b/>
          <w:sz w:val="24"/>
          <w:szCs w:val="24"/>
        </w:rPr>
        <w:t>6.</w:t>
      </w:r>
      <w:r>
        <w:rPr>
          <w:b/>
          <w:sz w:val="24"/>
          <w:szCs w:val="24"/>
        </w:rPr>
        <w:tab/>
        <w:t>Results</w:t>
      </w:r>
    </w:p>
    <w:p w14:paraId="16D169F1" w14:textId="77777777" w:rsidR="005C7D9A" w:rsidRDefault="00000000">
      <w:pPr>
        <w:spacing w:line="240" w:lineRule="auto"/>
        <w:rPr>
          <w:sz w:val="24"/>
          <w:szCs w:val="24"/>
        </w:rPr>
      </w:pPr>
      <w:r>
        <w:rPr>
          <w:sz w:val="24"/>
          <w:szCs w:val="24"/>
        </w:rPr>
        <w:t xml:space="preserve">The first tweet published on the network </w:t>
      </w:r>
      <w:proofErr w:type="gramStart"/>
      <w:r>
        <w:rPr>
          <w:sz w:val="24"/>
          <w:szCs w:val="24"/>
        </w:rPr>
        <w:t>dates back to</w:t>
      </w:r>
      <w:proofErr w:type="gramEnd"/>
      <w:r>
        <w:rPr>
          <w:sz w:val="24"/>
          <w:szCs w:val="24"/>
        </w:rPr>
        <w:t xml:space="preserve"> 2006. At that time, social network was not widely used, so the results obtained in the years between 2006 and 2011 should be considered not statistically significant. </w:t>
      </w:r>
    </w:p>
    <w:p w14:paraId="7ADA02C3" w14:textId="77777777" w:rsidR="005C7D9A" w:rsidRDefault="00000000">
      <w:pPr>
        <w:spacing w:line="240" w:lineRule="auto"/>
        <w:rPr>
          <w:sz w:val="24"/>
          <w:szCs w:val="24"/>
        </w:rPr>
      </w:pPr>
      <w:r>
        <w:rPr>
          <w:sz w:val="24"/>
          <w:szCs w:val="24"/>
        </w:rPr>
        <w:t xml:space="preserve">In Graph 1 we can appreciate the percentage of tweets referring to the terms </w:t>
      </w:r>
      <w:proofErr w:type="spellStart"/>
      <w:r>
        <w:rPr>
          <w:i/>
          <w:sz w:val="24"/>
          <w:szCs w:val="24"/>
        </w:rPr>
        <w:t>imprenditrice</w:t>
      </w:r>
      <w:proofErr w:type="spellEnd"/>
      <w:r>
        <w:rPr>
          <w:sz w:val="24"/>
          <w:szCs w:val="24"/>
        </w:rPr>
        <w:t xml:space="preserve">, </w:t>
      </w:r>
      <w:proofErr w:type="spellStart"/>
      <w:r>
        <w:rPr>
          <w:i/>
          <w:sz w:val="24"/>
          <w:szCs w:val="24"/>
        </w:rPr>
        <w:t>amministratrice</w:t>
      </w:r>
      <w:proofErr w:type="spellEnd"/>
      <w:r>
        <w:rPr>
          <w:sz w:val="24"/>
          <w:szCs w:val="24"/>
        </w:rPr>
        <w:t xml:space="preserve">, </w:t>
      </w:r>
      <w:proofErr w:type="spellStart"/>
      <w:r>
        <w:rPr>
          <w:i/>
          <w:sz w:val="24"/>
          <w:szCs w:val="24"/>
        </w:rPr>
        <w:t>direttrice</w:t>
      </w:r>
      <w:proofErr w:type="spellEnd"/>
      <w:r>
        <w:rPr>
          <w:sz w:val="24"/>
          <w:szCs w:val="24"/>
        </w:rPr>
        <w:t xml:space="preserve">, and </w:t>
      </w:r>
      <w:r>
        <w:rPr>
          <w:i/>
          <w:sz w:val="24"/>
          <w:szCs w:val="24"/>
        </w:rPr>
        <w:t xml:space="preserve">la CEO </w:t>
      </w:r>
      <w:r>
        <w:rPr>
          <w:sz w:val="24"/>
          <w:szCs w:val="24"/>
        </w:rPr>
        <w:t xml:space="preserve">out of the total number of tweets referring to the same term in male and female. With respect to 2008 and </w:t>
      </w:r>
      <w:proofErr w:type="gramStart"/>
      <w:r>
        <w:rPr>
          <w:sz w:val="24"/>
          <w:szCs w:val="24"/>
        </w:rPr>
        <w:t>in particular the</w:t>
      </w:r>
      <w:proofErr w:type="gramEnd"/>
      <w:r>
        <w:rPr>
          <w:sz w:val="24"/>
          <w:szCs w:val="24"/>
        </w:rPr>
        <w:t xml:space="preserve"> CEO term, the small number of elements analyzed, in this case, only 5, can cause results widely deviated from the average trend. In fact, only one term expressed in the feminine form results in an analyzed percentage of 20 %.</w:t>
      </w:r>
    </w:p>
    <w:p w14:paraId="18A8E63B" w14:textId="77777777" w:rsidR="005C7D9A" w:rsidRDefault="00000000">
      <w:pPr>
        <w:spacing w:line="240" w:lineRule="auto"/>
        <w:rPr>
          <w:sz w:val="24"/>
          <w:szCs w:val="24"/>
        </w:rPr>
      </w:pPr>
      <w:r>
        <w:rPr>
          <w:sz w:val="24"/>
          <w:szCs w:val="24"/>
        </w:rPr>
        <w:t>Leaving aside the trend in the early years, we report, except for the years between 2013 and 2015, a steady increase in the percentage of use of the term, which reached a value of almost 12% in 2022.</w:t>
      </w:r>
    </w:p>
    <w:p w14:paraId="229534C9" w14:textId="77777777" w:rsidR="005C7D9A" w:rsidRDefault="00000000">
      <w:pPr>
        <w:spacing w:line="360" w:lineRule="auto"/>
      </w:pPr>
      <w:r>
        <w:t>.</w:t>
      </w:r>
    </w:p>
    <w:p w14:paraId="5116C435" w14:textId="77777777" w:rsidR="005C7D9A" w:rsidRDefault="00000000">
      <w:pPr>
        <w:spacing w:after="200" w:line="360" w:lineRule="auto"/>
        <w:ind w:firstLine="0"/>
        <w:jc w:val="center"/>
      </w:pPr>
      <w:r>
        <w:rPr>
          <w:i/>
          <w:color w:val="44546A"/>
        </w:rPr>
        <w:t xml:space="preserve">Graph 1. Temporal trend of tweets on </w:t>
      </w:r>
      <w:proofErr w:type="spellStart"/>
      <w:r>
        <w:rPr>
          <w:i/>
          <w:color w:val="44546A"/>
        </w:rPr>
        <w:t>imprenditrice</w:t>
      </w:r>
      <w:proofErr w:type="spellEnd"/>
      <w:r>
        <w:rPr>
          <w:i/>
          <w:color w:val="44546A"/>
        </w:rPr>
        <w:t xml:space="preserve">, </w:t>
      </w:r>
      <w:proofErr w:type="spellStart"/>
      <w:r>
        <w:rPr>
          <w:i/>
          <w:color w:val="44546A"/>
        </w:rPr>
        <w:t>amministratrice</w:t>
      </w:r>
      <w:proofErr w:type="spellEnd"/>
      <w:r>
        <w:rPr>
          <w:i/>
          <w:color w:val="44546A"/>
        </w:rPr>
        <w:t xml:space="preserve">, </w:t>
      </w:r>
      <w:proofErr w:type="spellStart"/>
      <w:r>
        <w:rPr>
          <w:i/>
          <w:color w:val="44546A"/>
        </w:rPr>
        <w:t>direttrice</w:t>
      </w:r>
      <w:proofErr w:type="spellEnd"/>
      <w:r>
        <w:rPr>
          <w:i/>
          <w:color w:val="44546A"/>
        </w:rPr>
        <w:t xml:space="preserve"> and la CEO.</w:t>
      </w:r>
    </w:p>
    <w:p w14:paraId="71720024" w14:textId="77777777" w:rsidR="005C7D9A" w:rsidRDefault="00000000">
      <w:pPr>
        <w:spacing w:line="360" w:lineRule="auto"/>
        <w:ind w:firstLine="0"/>
        <w:jc w:val="center"/>
        <w:rPr>
          <w:sz w:val="24"/>
          <w:szCs w:val="24"/>
        </w:rPr>
      </w:pPr>
      <w:r>
        <w:rPr>
          <w:noProof/>
          <w:sz w:val="24"/>
          <w:szCs w:val="24"/>
        </w:rPr>
        <w:drawing>
          <wp:inline distT="114300" distB="114300" distL="114300" distR="114300" wp14:anchorId="78BCAB41" wp14:editId="7902D984">
            <wp:extent cx="5731200" cy="3225800"/>
            <wp:effectExtent l="0" t="0" r="0" b="0"/>
            <wp:docPr id="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5731200" cy="3225800"/>
                    </a:xfrm>
                    <a:prstGeom prst="rect">
                      <a:avLst/>
                    </a:prstGeom>
                    <a:ln/>
                  </pic:spPr>
                </pic:pic>
              </a:graphicData>
            </a:graphic>
          </wp:inline>
        </w:drawing>
      </w:r>
    </w:p>
    <w:p w14:paraId="3D7C4B95" w14:textId="77777777" w:rsidR="005C7D9A" w:rsidRDefault="005C7D9A">
      <w:pPr>
        <w:spacing w:line="360" w:lineRule="auto"/>
        <w:ind w:firstLine="0"/>
        <w:rPr>
          <w:sz w:val="24"/>
          <w:szCs w:val="24"/>
        </w:rPr>
      </w:pPr>
    </w:p>
    <w:p w14:paraId="646C592F" w14:textId="77777777" w:rsidR="005C7D9A" w:rsidRDefault="00000000">
      <w:pPr>
        <w:spacing w:line="240" w:lineRule="auto"/>
        <w:ind w:firstLine="0"/>
        <w:rPr>
          <w:sz w:val="24"/>
          <w:szCs w:val="24"/>
        </w:rPr>
      </w:pPr>
      <w:proofErr w:type="gramStart"/>
      <w:r>
        <w:rPr>
          <w:sz w:val="24"/>
          <w:szCs w:val="24"/>
        </w:rPr>
        <w:t>Assuming that</w:t>
      </w:r>
      <w:proofErr w:type="gramEnd"/>
      <w:r>
        <w:rPr>
          <w:sz w:val="24"/>
          <w:szCs w:val="24"/>
        </w:rPr>
        <w:t xml:space="preserve"> the considerations made earlier are also right here, there is a general increase in the use of the terms studied over the years. However, while for the terms </w:t>
      </w:r>
      <w:proofErr w:type="spellStart"/>
      <w:r>
        <w:rPr>
          <w:i/>
          <w:sz w:val="24"/>
          <w:szCs w:val="24"/>
        </w:rPr>
        <w:t>amministratrice</w:t>
      </w:r>
      <w:proofErr w:type="spellEnd"/>
      <w:r>
        <w:rPr>
          <w:i/>
          <w:sz w:val="24"/>
          <w:szCs w:val="24"/>
        </w:rPr>
        <w:t xml:space="preserve"> </w:t>
      </w:r>
      <w:r>
        <w:rPr>
          <w:sz w:val="24"/>
          <w:szCs w:val="24"/>
        </w:rPr>
        <w:t xml:space="preserve">and </w:t>
      </w:r>
      <w:proofErr w:type="spellStart"/>
      <w:r>
        <w:rPr>
          <w:i/>
          <w:sz w:val="24"/>
          <w:szCs w:val="24"/>
        </w:rPr>
        <w:t>direttrice</w:t>
      </w:r>
      <w:proofErr w:type="spellEnd"/>
      <w:r>
        <w:rPr>
          <w:sz w:val="24"/>
          <w:szCs w:val="24"/>
        </w:rPr>
        <w:t xml:space="preserve"> increase is almost constant and continuous, the use of the term </w:t>
      </w:r>
      <w:r>
        <w:rPr>
          <w:i/>
          <w:sz w:val="24"/>
          <w:szCs w:val="24"/>
        </w:rPr>
        <w:t>la CEO</w:t>
      </w:r>
      <w:r>
        <w:rPr>
          <w:sz w:val="24"/>
          <w:szCs w:val="24"/>
        </w:rPr>
        <w:t xml:space="preserve"> is more </w:t>
      </w:r>
      <w:r>
        <w:rPr>
          <w:sz w:val="24"/>
          <w:szCs w:val="24"/>
        </w:rPr>
        <w:lastRenderedPageBreak/>
        <w:t xml:space="preserve">discontinuous. We also report how the use of these terms in the feminine is less common than the term </w:t>
      </w:r>
      <w:proofErr w:type="spellStart"/>
      <w:r>
        <w:rPr>
          <w:i/>
          <w:sz w:val="24"/>
          <w:szCs w:val="24"/>
        </w:rPr>
        <w:t>imprenditrice</w:t>
      </w:r>
      <w:proofErr w:type="spellEnd"/>
      <w:r>
        <w:rPr>
          <w:sz w:val="24"/>
          <w:szCs w:val="24"/>
        </w:rPr>
        <w:t>, as of 2022 the results are as follows.</w:t>
      </w:r>
    </w:p>
    <w:p w14:paraId="2BA659E9" w14:textId="77777777" w:rsidR="005C7D9A" w:rsidRDefault="00000000">
      <w:pPr>
        <w:numPr>
          <w:ilvl w:val="0"/>
          <w:numId w:val="3"/>
        </w:numPr>
        <w:spacing w:line="240" w:lineRule="auto"/>
        <w:rPr>
          <w:sz w:val="24"/>
          <w:szCs w:val="24"/>
        </w:rPr>
      </w:pPr>
      <w:r>
        <w:rPr>
          <w:sz w:val="24"/>
          <w:szCs w:val="24"/>
        </w:rPr>
        <w:t xml:space="preserve">the term </w:t>
      </w:r>
      <w:proofErr w:type="spellStart"/>
      <w:r>
        <w:rPr>
          <w:i/>
          <w:sz w:val="24"/>
          <w:szCs w:val="24"/>
        </w:rPr>
        <w:t>amministratrice</w:t>
      </w:r>
      <w:proofErr w:type="spellEnd"/>
      <w:r>
        <w:rPr>
          <w:sz w:val="24"/>
          <w:szCs w:val="24"/>
        </w:rPr>
        <w:t xml:space="preserve"> reached a value equal to </w:t>
      </w:r>
      <w:proofErr w:type="gramStart"/>
      <w:r>
        <w:rPr>
          <w:sz w:val="24"/>
          <w:szCs w:val="24"/>
        </w:rPr>
        <w:t>2.2%;</w:t>
      </w:r>
      <w:proofErr w:type="gramEnd"/>
    </w:p>
    <w:p w14:paraId="27D40076" w14:textId="77777777" w:rsidR="005C7D9A" w:rsidRDefault="00000000">
      <w:pPr>
        <w:numPr>
          <w:ilvl w:val="0"/>
          <w:numId w:val="3"/>
        </w:numPr>
        <w:spacing w:line="240" w:lineRule="auto"/>
        <w:rPr>
          <w:sz w:val="24"/>
          <w:szCs w:val="24"/>
        </w:rPr>
      </w:pPr>
      <w:r>
        <w:rPr>
          <w:sz w:val="24"/>
          <w:szCs w:val="24"/>
        </w:rPr>
        <w:t xml:space="preserve">the term </w:t>
      </w:r>
      <w:proofErr w:type="spellStart"/>
      <w:r>
        <w:rPr>
          <w:i/>
          <w:sz w:val="24"/>
          <w:szCs w:val="24"/>
        </w:rPr>
        <w:t>direttrice</w:t>
      </w:r>
      <w:proofErr w:type="spellEnd"/>
      <w:r>
        <w:rPr>
          <w:sz w:val="24"/>
          <w:szCs w:val="24"/>
        </w:rPr>
        <w:t xml:space="preserve"> reached a value equal to </w:t>
      </w:r>
      <w:proofErr w:type="gramStart"/>
      <w:r>
        <w:rPr>
          <w:sz w:val="24"/>
          <w:szCs w:val="24"/>
        </w:rPr>
        <w:t>5.2%;</w:t>
      </w:r>
      <w:proofErr w:type="gramEnd"/>
    </w:p>
    <w:p w14:paraId="0B2266EB" w14:textId="77777777" w:rsidR="005C7D9A" w:rsidRDefault="00000000">
      <w:pPr>
        <w:numPr>
          <w:ilvl w:val="0"/>
          <w:numId w:val="3"/>
        </w:numPr>
        <w:spacing w:line="240" w:lineRule="auto"/>
        <w:rPr>
          <w:sz w:val="24"/>
          <w:szCs w:val="24"/>
        </w:rPr>
      </w:pPr>
      <w:r>
        <w:rPr>
          <w:sz w:val="24"/>
          <w:szCs w:val="24"/>
        </w:rPr>
        <w:t xml:space="preserve">the term </w:t>
      </w:r>
      <w:r>
        <w:rPr>
          <w:i/>
          <w:sz w:val="24"/>
          <w:szCs w:val="24"/>
        </w:rPr>
        <w:t>la CEO</w:t>
      </w:r>
      <w:r>
        <w:rPr>
          <w:sz w:val="24"/>
          <w:szCs w:val="24"/>
        </w:rPr>
        <w:t xml:space="preserve"> reached a value equal to 2.8%.</w:t>
      </w:r>
    </w:p>
    <w:p w14:paraId="41D2F3C0" w14:textId="77777777" w:rsidR="005C7D9A" w:rsidRDefault="00000000">
      <w:pPr>
        <w:spacing w:line="240" w:lineRule="auto"/>
        <w:ind w:firstLine="0"/>
        <w:rPr>
          <w:sz w:val="24"/>
          <w:szCs w:val="24"/>
        </w:rPr>
      </w:pPr>
      <w:r>
        <w:rPr>
          <w:sz w:val="24"/>
          <w:szCs w:val="24"/>
        </w:rPr>
        <w:t xml:space="preserve">Table 3 presents data on the sentiment analysis of tweets for specific search terms. The data shows that most of the searched words’ tweets are negative, with a total of 670.573 negative tweets, compared to 334.889 positive tweets. This highlights the general perception and sentiment towards the searched words on social media. </w:t>
      </w:r>
    </w:p>
    <w:p w14:paraId="54DDF74C" w14:textId="77777777" w:rsidR="005C7D9A" w:rsidRDefault="00000000">
      <w:pPr>
        <w:spacing w:line="240" w:lineRule="auto"/>
        <w:ind w:firstLine="0"/>
        <w:rPr>
          <w:sz w:val="24"/>
          <w:szCs w:val="24"/>
        </w:rPr>
      </w:pPr>
      <w:r>
        <w:rPr>
          <w:sz w:val="24"/>
          <w:szCs w:val="24"/>
        </w:rPr>
        <w:t xml:space="preserve">The data also shows that the sentiment towards certain searched words, such as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xml:space="preserve">, is overwhelmingly negative. However, it is worth noting that the gap between positive and negative tweets narrows for the term </w:t>
      </w:r>
      <w:proofErr w:type="spellStart"/>
      <w:r>
        <w:rPr>
          <w:i/>
          <w:sz w:val="24"/>
          <w:szCs w:val="24"/>
        </w:rPr>
        <w:t>imprenditrice</w:t>
      </w:r>
      <w:proofErr w:type="spellEnd"/>
      <w:r>
        <w:rPr>
          <w:sz w:val="24"/>
          <w:szCs w:val="24"/>
        </w:rPr>
        <w:t xml:space="preserve"> with 22.913 positive tweets and 28.872 negative tweets. This may suggest that there is a shift in the public perception and sentiment towards this term, potentially due to the increasing representation and recognition of businesswomen in the professional world. </w:t>
      </w:r>
    </w:p>
    <w:p w14:paraId="626503B0" w14:textId="77777777" w:rsidR="005C7D9A" w:rsidRDefault="00000000">
      <w:pPr>
        <w:spacing w:line="240" w:lineRule="auto"/>
        <w:ind w:firstLine="0"/>
        <w:rPr>
          <w:sz w:val="24"/>
          <w:szCs w:val="24"/>
        </w:rPr>
      </w:pPr>
      <w:r>
        <w:rPr>
          <w:sz w:val="24"/>
          <w:szCs w:val="24"/>
        </w:rPr>
        <w:t xml:space="preserve">The data related to positions in the boards shows that most of the searched words’ tweets are negative, with only one exception being the term la CEO, which has more positive tweets (107) than negative tweets (83). The positive sentiment towards the term </w:t>
      </w:r>
      <w:r>
        <w:rPr>
          <w:i/>
          <w:sz w:val="24"/>
          <w:szCs w:val="24"/>
        </w:rPr>
        <w:t>la CEO</w:t>
      </w:r>
      <w:r>
        <w:rPr>
          <w:sz w:val="24"/>
          <w:szCs w:val="24"/>
        </w:rPr>
        <w:t xml:space="preserve"> is an interesting finding. It suggests that the public perception of female CEOs may be more positive than other corporate positions. </w:t>
      </w:r>
    </w:p>
    <w:p w14:paraId="584B520D" w14:textId="77777777" w:rsidR="005C7D9A" w:rsidRDefault="00000000">
      <w:pPr>
        <w:spacing w:line="240" w:lineRule="auto"/>
        <w:ind w:firstLine="0"/>
        <w:rPr>
          <w:sz w:val="24"/>
          <w:szCs w:val="24"/>
        </w:rPr>
      </w:pPr>
      <w:r>
        <w:rPr>
          <w:sz w:val="24"/>
          <w:szCs w:val="24"/>
        </w:rPr>
        <w:t xml:space="preserve">To compare the difference in tweets sentiment between the single keywords within entrepreneur and the other top echelon positions, we calculated the positive comparative advantage index. If this index is greater than 1, it indicates a more positive attitude towards the keyword, if less than 1, a more negative attitude. In the first case can be found more positive attitudes toward </w:t>
      </w:r>
      <w:proofErr w:type="spellStart"/>
      <w:r>
        <w:rPr>
          <w:i/>
          <w:sz w:val="24"/>
          <w:szCs w:val="24"/>
        </w:rPr>
        <w:t>imprenditrice</w:t>
      </w:r>
      <w:proofErr w:type="spellEnd"/>
      <w:r>
        <w:rPr>
          <w:sz w:val="24"/>
          <w:szCs w:val="24"/>
        </w:rPr>
        <w:t xml:space="preserve"> (1.80) and more negative attitudes toward </w:t>
      </w:r>
      <w:proofErr w:type="spellStart"/>
      <w:r>
        <w:rPr>
          <w:i/>
          <w:sz w:val="24"/>
          <w:szCs w:val="24"/>
        </w:rPr>
        <w:t>imprenditore</w:t>
      </w:r>
      <w:proofErr w:type="spellEnd"/>
      <w:r>
        <w:rPr>
          <w:sz w:val="24"/>
          <w:szCs w:val="24"/>
        </w:rPr>
        <w:t xml:space="preserve"> (0.93). In the second category, there is a more positive attitude toward </w:t>
      </w:r>
      <w:proofErr w:type="spellStart"/>
      <w:r>
        <w:rPr>
          <w:i/>
          <w:sz w:val="24"/>
          <w:szCs w:val="24"/>
        </w:rPr>
        <w:t>direttrice</w:t>
      </w:r>
      <w:proofErr w:type="spellEnd"/>
      <w:r>
        <w:rPr>
          <w:sz w:val="24"/>
          <w:szCs w:val="24"/>
        </w:rPr>
        <w:t xml:space="preserve">, </w:t>
      </w:r>
      <w:proofErr w:type="spellStart"/>
      <w:r>
        <w:rPr>
          <w:i/>
          <w:sz w:val="24"/>
          <w:szCs w:val="24"/>
        </w:rPr>
        <w:t>direttore</w:t>
      </w:r>
      <w:proofErr w:type="spellEnd"/>
      <w:r>
        <w:rPr>
          <w:sz w:val="24"/>
          <w:szCs w:val="24"/>
        </w:rPr>
        <w:t xml:space="preserve"> and </w:t>
      </w:r>
      <w:r>
        <w:rPr>
          <w:i/>
          <w:sz w:val="24"/>
          <w:szCs w:val="24"/>
        </w:rPr>
        <w:t>la CEO</w:t>
      </w:r>
      <w:r>
        <w:rPr>
          <w:sz w:val="24"/>
          <w:szCs w:val="24"/>
        </w:rPr>
        <w:t xml:space="preserve"> (respectively 1.01, 1.17 and 1.10).</w:t>
      </w:r>
    </w:p>
    <w:p w14:paraId="5C9791C4" w14:textId="77777777" w:rsidR="005C7D9A" w:rsidRDefault="00000000">
      <w:pPr>
        <w:spacing w:line="360" w:lineRule="auto"/>
        <w:rPr>
          <w:sz w:val="24"/>
          <w:szCs w:val="24"/>
        </w:rPr>
      </w:pPr>
      <w:r>
        <w:rPr>
          <w:sz w:val="24"/>
          <w:szCs w:val="24"/>
        </w:rPr>
        <w:t xml:space="preserve"> </w:t>
      </w:r>
    </w:p>
    <w:p w14:paraId="3DBFEC43" w14:textId="77777777" w:rsidR="005C7D9A" w:rsidRDefault="00000000">
      <w:pPr>
        <w:spacing w:after="200" w:line="360" w:lineRule="auto"/>
        <w:ind w:firstLine="0"/>
        <w:jc w:val="center"/>
        <w:rPr>
          <w:i/>
          <w:color w:val="44546A"/>
        </w:rPr>
      </w:pPr>
      <w:r>
        <w:rPr>
          <w:i/>
          <w:color w:val="44546A"/>
        </w:rPr>
        <w:t>Table 3. Number of positive and negative tweets on male and female and positive comparative advantage index.</w:t>
      </w:r>
    </w:p>
    <w:tbl>
      <w:tblPr>
        <w:tblStyle w:val="a5"/>
        <w:tblW w:w="75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620"/>
        <w:gridCol w:w="1965"/>
        <w:gridCol w:w="1965"/>
        <w:gridCol w:w="1950"/>
      </w:tblGrid>
      <w:tr w:rsidR="005C7D9A" w14:paraId="1495B26D" w14:textId="77777777">
        <w:trPr>
          <w:trHeight w:val="104"/>
        </w:trPr>
        <w:tc>
          <w:tcPr>
            <w:tcW w:w="1620" w:type="dxa"/>
            <w:tcBorders>
              <w:top w:val="nil"/>
              <w:left w:val="nil"/>
              <w:bottom w:val="single" w:sz="8" w:space="0" w:color="000000"/>
              <w:right w:val="nil"/>
            </w:tcBorders>
            <w:tcMar>
              <w:top w:w="-93" w:type="dxa"/>
              <w:left w:w="-93" w:type="dxa"/>
              <w:bottom w:w="-93" w:type="dxa"/>
              <w:right w:w="-93" w:type="dxa"/>
            </w:tcMar>
            <w:vAlign w:val="center"/>
          </w:tcPr>
          <w:p w14:paraId="06D79AF0" w14:textId="77777777" w:rsidR="005C7D9A" w:rsidRDefault="00000000">
            <w:pPr>
              <w:widowControl w:val="0"/>
              <w:pBdr>
                <w:top w:val="nil"/>
                <w:left w:val="nil"/>
                <w:bottom w:val="nil"/>
                <w:right w:val="nil"/>
                <w:between w:val="nil"/>
              </w:pBdr>
              <w:spacing w:line="240" w:lineRule="auto"/>
              <w:ind w:firstLine="0"/>
              <w:jc w:val="left"/>
              <w:rPr>
                <w:i/>
              </w:rPr>
            </w:pPr>
            <w:r>
              <w:rPr>
                <w:i/>
              </w:rPr>
              <w:t xml:space="preserve"> </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185F9F70" w14:textId="77777777" w:rsidR="005C7D9A" w:rsidRDefault="00000000">
            <w:pPr>
              <w:widowControl w:val="0"/>
              <w:pBdr>
                <w:top w:val="nil"/>
                <w:left w:val="nil"/>
                <w:bottom w:val="nil"/>
                <w:right w:val="nil"/>
                <w:between w:val="nil"/>
              </w:pBdr>
              <w:spacing w:line="240" w:lineRule="auto"/>
              <w:ind w:firstLine="0"/>
              <w:jc w:val="center"/>
            </w:pPr>
            <w:r>
              <w:rPr>
                <w:b/>
              </w:rPr>
              <w:t>Number of positive tweets</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277452A5" w14:textId="77777777" w:rsidR="005C7D9A" w:rsidRDefault="00000000">
            <w:pPr>
              <w:widowControl w:val="0"/>
              <w:pBdr>
                <w:top w:val="nil"/>
                <w:left w:val="nil"/>
                <w:bottom w:val="nil"/>
                <w:right w:val="nil"/>
                <w:between w:val="nil"/>
              </w:pBdr>
              <w:spacing w:line="240" w:lineRule="auto"/>
              <w:ind w:firstLine="0"/>
              <w:jc w:val="center"/>
            </w:pPr>
            <w:r>
              <w:rPr>
                <w:b/>
              </w:rPr>
              <w:t>Number of negative tweets</w:t>
            </w:r>
          </w:p>
        </w:tc>
        <w:tc>
          <w:tcPr>
            <w:tcW w:w="1950" w:type="dxa"/>
            <w:tcBorders>
              <w:top w:val="nil"/>
              <w:left w:val="nil"/>
              <w:bottom w:val="single" w:sz="8" w:space="0" w:color="000000"/>
              <w:right w:val="nil"/>
            </w:tcBorders>
            <w:tcMar>
              <w:top w:w="-93" w:type="dxa"/>
              <w:left w:w="-93" w:type="dxa"/>
              <w:bottom w:w="-93" w:type="dxa"/>
              <w:right w:w="-93" w:type="dxa"/>
            </w:tcMar>
            <w:vAlign w:val="center"/>
          </w:tcPr>
          <w:p w14:paraId="34935E4E" w14:textId="77777777" w:rsidR="005C7D9A" w:rsidRDefault="00000000">
            <w:pPr>
              <w:widowControl w:val="0"/>
              <w:pBdr>
                <w:top w:val="nil"/>
                <w:left w:val="nil"/>
                <w:bottom w:val="nil"/>
                <w:right w:val="nil"/>
                <w:between w:val="nil"/>
              </w:pBdr>
              <w:spacing w:line="240" w:lineRule="auto"/>
              <w:ind w:firstLine="0"/>
              <w:jc w:val="center"/>
            </w:pPr>
            <w:r>
              <w:rPr>
                <w:b/>
              </w:rPr>
              <w:t>Positive comparative advantage index</w:t>
            </w:r>
          </w:p>
        </w:tc>
      </w:tr>
      <w:tr w:rsidR="005C7D9A" w14:paraId="00E2F1DD" w14:textId="77777777">
        <w:trPr>
          <w:trHeight w:val="415"/>
        </w:trPr>
        <w:tc>
          <w:tcPr>
            <w:tcW w:w="1620" w:type="dxa"/>
            <w:tcBorders>
              <w:top w:val="nil"/>
              <w:left w:val="nil"/>
              <w:bottom w:val="nil"/>
              <w:right w:val="single" w:sz="4" w:space="0" w:color="000000"/>
            </w:tcBorders>
            <w:tcMar>
              <w:top w:w="-93" w:type="dxa"/>
              <w:left w:w="-93" w:type="dxa"/>
              <w:bottom w:w="-93" w:type="dxa"/>
              <w:right w:w="-93" w:type="dxa"/>
            </w:tcMar>
            <w:vAlign w:val="center"/>
          </w:tcPr>
          <w:p w14:paraId="4DEABC24" w14:textId="77777777" w:rsidR="005C7D9A" w:rsidRDefault="00000000">
            <w:pPr>
              <w:widowControl w:val="0"/>
              <w:pBdr>
                <w:top w:val="nil"/>
                <w:left w:val="nil"/>
                <w:bottom w:val="nil"/>
                <w:right w:val="nil"/>
                <w:between w:val="nil"/>
              </w:pBdr>
              <w:spacing w:line="240" w:lineRule="auto"/>
              <w:ind w:firstLine="0"/>
              <w:jc w:val="left"/>
              <w:rPr>
                <w:i/>
              </w:rPr>
            </w:pPr>
            <w:proofErr w:type="spellStart"/>
            <w:r>
              <w:rPr>
                <w:i/>
              </w:rPr>
              <w:t>Imprenditore</w:t>
            </w:r>
            <w:proofErr w:type="spellEnd"/>
          </w:p>
        </w:tc>
        <w:tc>
          <w:tcPr>
            <w:tcW w:w="1965" w:type="dxa"/>
            <w:tcBorders>
              <w:top w:val="nil"/>
              <w:left w:val="nil"/>
              <w:bottom w:val="nil"/>
              <w:right w:val="nil"/>
            </w:tcBorders>
            <w:tcMar>
              <w:top w:w="-93" w:type="dxa"/>
              <w:left w:w="-93" w:type="dxa"/>
              <w:bottom w:w="-93" w:type="dxa"/>
              <w:right w:w="-93" w:type="dxa"/>
            </w:tcMar>
            <w:vAlign w:val="center"/>
          </w:tcPr>
          <w:p w14:paraId="414081ED" w14:textId="77777777" w:rsidR="005C7D9A" w:rsidRDefault="00000000">
            <w:pPr>
              <w:spacing w:after="200" w:line="240" w:lineRule="auto"/>
              <w:ind w:firstLine="0"/>
              <w:jc w:val="center"/>
            </w:pPr>
            <w:r>
              <w:t>142,687</w:t>
            </w:r>
          </w:p>
        </w:tc>
        <w:tc>
          <w:tcPr>
            <w:tcW w:w="1965" w:type="dxa"/>
            <w:tcBorders>
              <w:top w:val="nil"/>
              <w:left w:val="nil"/>
              <w:bottom w:val="nil"/>
              <w:right w:val="nil"/>
            </w:tcBorders>
            <w:tcMar>
              <w:top w:w="-93" w:type="dxa"/>
              <w:left w:w="-93" w:type="dxa"/>
              <w:bottom w:w="-93" w:type="dxa"/>
              <w:right w:w="-93" w:type="dxa"/>
            </w:tcMar>
            <w:vAlign w:val="center"/>
          </w:tcPr>
          <w:p w14:paraId="62C53A8F" w14:textId="77777777" w:rsidR="005C7D9A" w:rsidRDefault="00000000">
            <w:pPr>
              <w:spacing w:after="200" w:line="240" w:lineRule="auto"/>
              <w:ind w:firstLine="0"/>
              <w:jc w:val="center"/>
            </w:pPr>
            <w:r>
              <w:t>481,530</w:t>
            </w:r>
          </w:p>
        </w:tc>
        <w:tc>
          <w:tcPr>
            <w:tcW w:w="1950" w:type="dxa"/>
            <w:tcBorders>
              <w:top w:val="nil"/>
              <w:left w:val="nil"/>
              <w:bottom w:val="nil"/>
              <w:right w:val="nil"/>
            </w:tcBorders>
            <w:tcMar>
              <w:top w:w="-93" w:type="dxa"/>
              <w:left w:w="-93" w:type="dxa"/>
              <w:bottom w:w="-93" w:type="dxa"/>
              <w:right w:w="-93" w:type="dxa"/>
            </w:tcMar>
            <w:vAlign w:val="center"/>
          </w:tcPr>
          <w:p w14:paraId="43647B82" w14:textId="77777777" w:rsidR="005C7D9A" w:rsidRDefault="00000000">
            <w:pPr>
              <w:spacing w:after="200" w:line="240" w:lineRule="auto"/>
              <w:ind w:firstLine="0"/>
              <w:jc w:val="center"/>
            </w:pPr>
            <w:r>
              <w:t>0.93</w:t>
            </w:r>
          </w:p>
        </w:tc>
      </w:tr>
      <w:tr w:rsidR="005C7D9A" w14:paraId="6139A0A1" w14:textId="77777777">
        <w:tc>
          <w:tcPr>
            <w:tcW w:w="1620" w:type="dxa"/>
            <w:tcBorders>
              <w:top w:val="single" w:sz="4" w:space="0" w:color="000000"/>
              <w:left w:val="nil"/>
              <w:bottom w:val="single" w:sz="8" w:space="0" w:color="000000"/>
              <w:right w:val="single" w:sz="4" w:space="0" w:color="000000"/>
            </w:tcBorders>
            <w:tcMar>
              <w:top w:w="-93" w:type="dxa"/>
              <w:left w:w="-93" w:type="dxa"/>
              <w:bottom w:w="-93" w:type="dxa"/>
              <w:right w:w="-93" w:type="dxa"/>
            </w:tcMar>
            <w:vAlign w:val="center"/>
          </w:tcPr>
          <w:p w14:paraId="1D655147" w14:textId="77777777" w:rsidR="005C7D9A" w:rsidRDefault="00000000">
            <w:pPr>
              <w:spacing w:after="200" w:line="240" w:lineRule="auto"/>
              <w:ind w:firstLine="0"/>
              <w:rPr>
                <w:i/>
              </w:rPr>
            </w:pPr>
            <w:proofErr w:type="spellStart"/>
            <w:r>
              <w:rPr>
                <w:i/>
              </w:rPr>
              <w:t>Imprenditrice</w:t>
            </w:r>
            <w:proofErr w:type="spellEnd"/>
          </w:p>
        </w:tc>
        <w:tc>
          <w:tcPr>
            <w:tcW w:w="1965" w:type="dxa"/>
            <w:tcBorders>
              <w:top w:val="single" w:sz="4" w:space="0" w:color="000000"/>
              <w:left w:val="nil"/>
              <w:bottom w:val="single" w:sz="8" w:space="0" w:color="000000"/>
              <w:right w:val="nil"/>
            </w:tcBorders>
            <w:tcMar>
              <w:top w:w="-93" w:type="dxa"/>
              <w:left w:w="-93" w:type="dxa"/>
              <w:bottom w:w="-93" w:type="dxa"/>
              <w:right w:w="-93" w:type="dxa"/>
            </w:tcMar>
            <w:vAlign w:val="center"/>
          </w:tcPr>
          <w:p w14:paraId="52EBC7CA" w14:textId="77777777" w:rsidR="005C7D9A" w:rsidRDefault="00000000">
            <w:pPr>
              <w:spacing w:after="200" w:line="240" w:lineRule="auto"/>
              <w:ind w:firstLine="0"/>
              <w:jc w:val="center"/>
            </w:pPr>
            <w:r>
              <w:t>22,913</w:t>
            </w:r>
          </w:p>
        </w:tc>
        <w:tc>
          <w:tcPr>
            <w:tcW w:w="1965" w:type="dxa"/>
            <w:tcBorders>
              <w:top w:val="single" w:sz="4" w:space="0" w:color="000000"/>
              <w:left w:val="nil"/>
              <w:bottom w:val="single" w:sz="8" w:space="0" w:color="000000"/>
              <w:right w:val="nil"/>
            </w:tcBorders>
            <w:tcMar>
              <w:top w:w="-93" w:type="dxa"/>
              <w:left w:w="-93" w:type="dxa"/>
              <w:bottom w:w="-93" w:type="dxa"/>
              <w:right w:w="-93" w:type="dxa"/>
            </w:tcMar>
            <w:vAlign w:val="center"/>
          </w:tcPr>
          <w:p w14:paraId="3A5C8229" w14:textId="77777777" w:rsidR="005C7D9A" w:rsidRDefault="00000000">
            <w:pPr>
              <w:spacing w:after="200" w:line="240" w:lineRule="auto"/>
              <w:ind w:firstLine="0"/>
              <w:jc w:val="center"/>
            </w:pPr>
            <w:r>
              <w:t>28,872</w:t>
            </w:r>
          </w:p>
        </w:tc>
        <w:tc>
          <w:tcPr>
            <w:tcW w:w="1950" w:type="dxa"/>
            <w:tcBorders>
              <w:top w:val="single" w:sz="4" w:space="0" w:color="000000"/>
              <w:left w:val="nil"/>
              <w:bottom w:val="single" w:sz="8" w:space="0" w:color="000000"/>
              <w:right w:val="nil"/>
            </w:tcBorders>
            <w:tcMar>
              <w:top w:w="-93" w:type="dxa"/>
              <w:left w:w="-93" w:type="dxa"/>
              <w:bottom w:w="-93" w:type="dxa"/>
              <w:right w:w="-93" w:type="dxa"/>
            </w:tcMar>
            <w:vAlign w:val="center"/>
          </w:tcPr>
          <w:p w14:paraId="09FA451A" w14:textId="77777777" w:rsidR="005C7D9A" w:rsidRDefault="00000000">
            <w:pPr>
              <w:spacing w:after="200" w:line="240" w:lineRule="auto"/>
              <w:ind w:firstLine="0"/>
              <w:jc w:val="center"/>
            </w:pPr>
            <w:r>
              <w:t>1.81</w:t>
            </w:r>
          </w:p>
        </w:tc>
      </w:tr>
      <w:tr w:rsidR="005C7D9A" w14:paraId="7FAD95FA" w14:textId="77777777">
        <w:tc>
          <w:tcPr>
            <w:tcW w:w="1620" w:type="dxa"/>
            <w:tcBorders>
              <w:top w:val="nil"/>
              <w:left w:val="nil"/>
              <w:bottom w:val="single" w:sz="8" w:space="0" w:color="000000"/>
              <w:right w:val="single" w:sz="4" w:space="0" w:color="000000"/>
            </w:tcBorders>
            <w:tcMar>
              <w:top w:w="-93" w:type="dxa"/>
              <w:left w:w="-93" w:type="dxa"/>
              <w:bottom w:w="-93" w:type="dxa"/>
              <w:right w:w="-93" w:type="dxa"/>
            </w:tcMar>
            <w:vAlign w:val="center"/>
          </w:tcPr>
          <w:p w14:paraId="7AD42470" w14:textId="77777777" w:rsidR="005C7D9A" w:rsidRDefault="00000000">
            <w:pPr>
              <w:spacing w:after="200" w:line="240" w:lineRule="auto"/>
              <w:ind w:firstLine="0"/>
            </w:pPr>
            <w:r>
              <w:rPr>
                <w:b/>
              </w:rPr>
              <w:t xml:space="preserve">Total </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3786E8BB" w14:textId="77777777" w:rsidR="005C7D9A" w:rsidRDefault="00000000">
            <w:pPr>
              <w:spacing w:after="200" w:line="240" w:lineRule="auto"/>
              <w:ind w:firstLine="0"/>
              <w:jc w:val="center"/>
            </w:pPr>
            <w:r>
              <w:rPr>
                <w:b/>
              </w:rPr>
              <w:t>165,600</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4D9B1424" w14:textId="77777777" w:rsidR="005C7D9A" w:rsidRDefault="00000000">
            <w:pPr>
              <w:spacing w:after="200" w:line="240" w:lineRule="auto"/>
              <w:ind w:firstLine="0"/>
              <w:jc w:val="center"/>
            </w:pPr>
            <w:r>
              <w:rPr>
                <w:b/>
              </w:rPr>
              <w:t>510,402</w:t>
            </w:r>
          </w:p>
        </w:tc>
        <w:tc>
          <w:tcPr>
            <w:tcW w:w="1950" w:type="dxa"/>
            <w:tcBorders>
              <w:top w:val="nil"/>
              <w:left w:val="nil"/>
              <w:bottom w:val="single" w:sz="8" w:space="0" w:color="000000"/>
              <w:right w:val="nil"/>
            </w:tcBorders>
            <w:tcMar>
              <w:top w:w="-93" w:type="dxa"/>
              <w:left w:w="-93" w:type="dxa"/>
              <w:bottom w:w="-93" w:type="dxa"/>
              <w:right w:w="-93" w:type="dxa"/>
            </w:tcMar>
            <w:vAlign w:val="center"/>
          </w:tcPr>
          <w:p w14:paraId="51608A7C" w14:textId="77777777" w:rsidR="005C7D9A" w:rsidRDefault="00000000">
            <w:pPr>
              <w:spacing w:after="200" w:line="240" w:lineRule="auto"/>
              <w:jc w:val="center"/>
            </w:pPr>
            <w:r>
              <w:t xml:space="preserve"> </w:t>
            </w:r>
          </w:p>
        </w:tc>
      </w:tr>
      <w:tr w:rsidR="005C7D9A" w14:paraId="667E3133" w14:textId="77777777">
        <w:trPr>
          <w:trHeight w:val="415"/>
        </w:trPr>
        <w:tc>
          <w:tcPr>
            <w:tcW w:w="1620" w:type="dxa"/>
            <w:tcBorders>
              <w:top w:val="nil"/>
              <w:left w:val="nil"/>
              <w:bottom w:val="single" w:sz="4" w:space="0" w:color="000000"/>
              <w:right w:val="single" w:sz="4" w:space="0" w:color="000000"/>
            </w:tcBorders>
            <w:tcMar>
              <w:top w:w="-93" w:type="dxa"/>
              <w:left w:w="-93" w:type="dxa"/>
              <w:bottom w:w="-93" w:type="dxa"/>
              <w:right w:w="-93" w:type="dxa"/>
            </w:tcMar>
            <w:vAlign w:val="center"/>
          </w:tcPr>
          <w:p w14:paraId="415F9D58" w14:textId="77777777" w:rsidR="005C7D9A" w:rsidRDefault="00000000">
            <w:pPr>
              <w:spacing w:after="200" w:line="240" w:lineRule="auto"/>
              <w:ind w:firstLine="0"/>
              <w:rPr>
                <w:i/>
              </w:rPr>
            </w:pPr>
            <w:proofErr w:type="spellStart"/>
            <w:r>
              <w:rPr>
                <w:i/>
              </w:rPr>
              <w:t>Direttore</w:t>
            </w:r>
            <w:proofErr w:type="spellEnd"/>
          </w:p>
        </w:tc>
        <w:tc>
          <w:tcPr>
            <w:tcW w:w="1965" w:type="dxa"/>
            <w:tcBorders>
              <w:top w:val="nil"/>
              <w:left w:val="nil"/>
              <w:bottom w:val="single" w:sz="4" w:space="0" w:color="000000"/>
              <w:right w:val="nil"/>
            </w:tcBorders>
            <w:tcMar>
              <w:top w:w="-93" w:type="dxa"/>
              <w:left w:w="-93" w:type="dxa"/>
              <w:bottom w:w="-93" w:type="dxa"/>
              <w:right w:w="-93" w:type="dxa"/>
            </w:tcMar>
            <w:vAlign w:val="center"/>
          </w:tcPr>
          <w:p w14:paraId="0C2406D3" w14:textId="77777777" w:rsidR="005C7D9A" w:rsidRDefault="00000000">
            <w:pPr>
              <w:spacing w:after="200" w:line="240" w:lineRule="auto"/>
              <w:ind w:firstLine="0"/>
              <w:jc w:val="center"/>
            </w:pPr>
            <w:r>
              <w:t>103,371</w:t>
            </w:r>
          </w:p>
        </w:tc>
        <w:tc>
          <w:tcPr>
            <w:tcW w:w="1965" w:type="dxa"/>
            <w:tcBorders>
              <w:top w:val="nil"/>
              <w:left w:val="nil"/>
              <w:bottom w:val="single" w:sz="4" w:space="0" w:color="000000"/>
              <w:right w:val="nil"/>
            </w:tcBorders>
            <w:tcMar>
              <w:top w:w="-93" w:type="dxa"/>
              <w:left w:w="-93" w:type="dxa"/>
              <w:bottom w:w="-93" w:type="dxa"/>
              <w:right w:w="-93" w:type="dxa"/>
            </w:tcMar>
            <w:vAlign w:val="center"/>
          </w:tcPr>
          <w:p w14:paraId="5D267590" w14:textId="77777777" w:rsidR="005C7D9A" w:rsidRDefault="00000000">
            <w:pPr>
              <w:spacing w:after="200" w:line="240" w:lineRule="auto"/>
              <w:ind w:firstLine="0"/>
              <w:jc w:val="center"/>
            </w:pPr>
            <w:r>
              <w:t>94,888</w:t>
            </w:r>
          </w:p>
        </w:tc>
        <w:tc>
          <w:tcPr>
            <w:tcW w:w="1950" w:type="dxa"/>
            <w:tcBorders>
              <w:top w:val="nil"/>
              <w:left w:val="nil"/>
              <w:bottom w:val="single" w:sz="4" w:space="0" w:color="000000"/>
              <w:right w:val="nil"/>
            </w:tcBorders>
            <w:tcMar>
              <w:top w:w="-93" w:type="dxa"/>
              <w:left w:w="-93" w:type="dxa"/>
              <w:bottom w:w="-93" w:type="dxa"/>
              <w:right w:w="-93" w:type="dxa"/>
            </w:tcMar>
            <w:vAlign w:val="center"/>
          </w:tcPr>
          <w:p w14:paraId="2778F5E6" w14:textId="77777777" w:rsidR="005C7D9A" w:rsidRDefault="00000000">
            <w:pPr>
              <w:spacing w:after="200" w:line="240" w:lineRule="auto"/>
              <w:ind w:firstLine="0"/>
              <w:jc w:val="center"/>
            </w:pPr>
            <w:r>
              <w:t>1.01</w:t>
            </w:r>
          </w:p>
        </w:tc>
      </w:tr>
      <w:tr w:rsidR="005C7D9A" w14:paraId="6180A0F4" w14:textId="77777777">
        <w:trPr>
          <w:trHeight w:val="445"/>
        </w:trPr>
        <w:tc>
          <w:tcPr>
            <w:tcW w:w="1620" w:type="dxa"/>
            <w:tcBorders>
              <w:top w:val="nil"/>
              <w:left w:val="nil"/>
              <w:bottom w:val="nil"/>
              <w:right w:val="single" w:sz="4" w:space="0" w:color="000000"/>
            </w:tcBorders>
            <w:tcMar>
              <w:top w:w="-93" w:type="dxa"/>
              <w:left w:w="-93" w:type="dxa"/>
              <w:bottom w:w="-93" w:type="dxa"/>
              <w:right w:w="-93" w:type="dxa"/>
            </w:tcMar>
            <w:vAlign w:val="center"/>
          </w:tcPr>
          <w:p w14:paraId="123257A8" w14:textId="77777777" w:rsidR="005C7D9A" w:rsidRDefault="00000000">
            <w:pPr>
              <w:spacing w:after="200" w:line="240" w:lineRule="auto"/>
              <w:ind w:firstLine="0"/>
              <w:rPr>
                <w:i/>
              </w:rPr>
            </w:pPr>
            <w:proofErr w:type="spellStart"/>
            <w:r>
              <w:rPr>
                <w:i/>
              </w:rPr>
              <w:t>Direttrice</w:t>
            </w:r>
            <w:proofErr w:type="spellEnd"/>
          </w:p>
        </w:tc>
        <w:tc>
          <w:tcPr>
            <w:tcW w:w="1965" w:type="dxa"/>
            <w:tcBorders>
              <w:top w:val="nil"/>
              <w:left w:val="nil"/>
              <w:bottom w:val="nil"/>
              <w:right w:val="nil"/>
            </w:tcBorders>
            <w:tcMar>
              <w:top w:w="-93" w:type="dxa"/>
              <w:left w:w="-93" w:type="dxa"/>
              <w:bottom w:w="-93" w:type="dxa"/>
              <w:right w:w="-93" w:type="dxa"/>
            </w:tcMar>
            <w:vAlign w:val="center"/>
          </w:tcPr>
          <w:p w14:paraId="3059919D" w14:textId="77777777" w:rsidR="005C7D9A" w:rsidRDefault="00000000">
            <w:pPr>
              <w:spacing w:after="200" w:line="240" w:lineRule="auto"/>
              <w:ind w:firstLine="0"/>
              <w:jc w:val="center"/>
            </w:pPr>
            <w:r>
              <w:t>3,492</w:t>
            </w:r>
          </w:p>
        </w:tc>
        <w:tc>
          <w:tcPr>
            <w:tcW w:w="1965"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7733F5BF" w14:textId="77777777" w:rsidR="005C7D9A" w:rsidRDefault="00000000">
            <w:pPr>
              <w:spacing w:after="200" w:line="240" w:lineRule="auto"/>
              <w:ind w:firstLine="0"/>
              <w:jc w:val="center"/>
            </w:pPr>
            <w:r>
              <w:t>2,316</w:t>
            </w:r>
          </w:p>
        </w:tc>
        <w:tc>
          <w:tcPr>
            <w:tcW w:w="1950"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1F6785B1" w14:textId="77777777" w:rsidR="005C7D9A" w:rsidRDefault="00000000">
            <w:pPr>
              <w:spacing w:after="200" w:line="240" w:lineRule="auto"/>
              <w:ind w:firstLine="0"/>
              <w:jc w:val="center"/>
            </w:pPr>
            <w:r>
              <w:t>1.17</w:t>
            </w:r>
          </w:p>
        </w:tc>
      </w:tr>
      <w:tr w:rsidR="005C7D9A" w14:paraId="17C5EF8B" w14:textId="77777777">
        <w:trPr>
          <w:trHeight w:val="445"/>
        </w:trPr>
        <w:tc>
          <w:tcPr>
            <w:tcW w:w="1620" w:type="dxa"/>
            <w:tcBorders>
              <w:top w:val="single" w:sz="4" w:space="0" w:color="000000"/>
              <w:left w:val="nil"/>
              <w:bottom w:val="single" w:sz="4" w:space="0" w:color="000000"/>
              <w:right w:val="single" w:sz="4" w:space="0" w:color="000000"/>
            </w:tcBorders>
            <w:tcMar>
              <w:top w:w="-93" w:type="dxa"/>
              <w:left w:w="-93" w:type="dxa"/>
              <w:bottom w:w="-93" w:type="dxa"/>
              <w:right w:w="-93" w:type="dxa"/>
            </w:tcMar>
            <w:vAlign w:val="center"/>
          </w:tcPr>
          <w:p w14:paraId="1EAB9FB0" w14:textId="77777777" w:rsidR="005C7D9A" w:rsidRDefault="00000000">
            <w:pPr>
              <w:spacing w:after="200" w:line="240" w:lineRule="auto"/>
              <w:ind w:firstLine="0"/>
              <w:rPr>
                <w:i/>
              </w:rPr>
            </w:pPr>
            <w:proofErr w:type="spellStart"/>
            <w:r>
              <w:rPr>
                <w:i/>
              </w:rPr>
              <w:t>Amministratore</w:t>
            </w:r>
            <w:proofErr w:type="spellEnd"/>
          </w:p>
        </w:tc>
        <w:tc>
          <w:tcPr>
            <w:tcW w:w="1965"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3919DDC2" w14:textId="77777777" w:rsidR="005C7D9A" w:rsidRDefault="00000000">
            <w:pPr>
              <w:spacing w:after="200" w:line="240" w:lineRule="auto"/>
              <w:ind w:firstLine="0"/>
              <w:jc w:val="center"/>
            </w:pPr>
            <w:r>
              <w:t>58,123</w:t>
            </w:r>
          </w:p>
        </w:tc>
        <w:tc>
          <w:tcPr>
            <w:tcW w:w="1965" w:type="dxa"/>
            <w:tcBorders>
              <w:top w:val="nil"/>
              <w:left w:val="nil"/>
              <w:bottom w:val="nil"/>
              <w:right w:val="nil"/>
            </w:tcBorders>
            <w:tcMar>
              <w:top w:w="-93" w:type="dxa"/>
              <w:left w:w="-93" w:type="dxa"/>
              <w:bottom w:w="-93" w:type="dxa"/>
              <w:right w:w="-93" w:type="dxa"/>
            </w:tcMar>
            <w:vAlign w:val="center"/>
          </w:tcPr>
          <w:p w14:paraId="305D2582" w14:textId="77777777" w:rsidR="005C7D9A" w:rsidRDefault="00000000">
            <w:pPr>
              <w:spacing w:after="200" w:line="240" w:lineRule="auto"/>
              <w:ind w:firstLine="0"/>
              <w:jc w:val="center"/>
            </w:pPr>
            <w:r>
              <w:t>57,187</w:t>
            </w:r>
          </w:p>
        </w:tc>
        <w:tc>
          <w:tcPr>
            <w:tcW w:w="1950" w:type="dxa"/>
            <w:tcBorders>
              <w:top w:val="nil"/>
              <w:left w:val="nil"/>
              <w:bottom w:val="nil"/>
              <w:right w:val="nil"/>
            </w:tcBorders>
            <w:tcMar>
              <w:top w:w="-93" w:type="dxa"/>
              <w:left w:w="-93" w:type="dxa"/>
              <w:bottom w:w="-93" w:type="dxa"/>
              <w:right w:w="-93" w:type="dxa"/>
            </w:tcMar>
            <w:vAlign w:val="center"/>
          </w:tcPr>
          <w:p w14:paraId="0074B164" w14:textId="77777777" w:rsidR="005C7D9A" w:rsidRDefault="00000000">
            <w:pPr>
              <w:spacing w:after="200" w:line="240" w:lineRule="auto"/>
              <w:ind w:firstLine="0"/>
              <w:jc w:val="center"/>
            </w:pPr>
            <w:r>
              <w:t>0.98</w:t>
            </w:r>
          </w:p>
        </w:tc>
      </w:tr>
      <w:tr w:rsidR="005C7D9A" w14:paraId="12E01C5E" w14:textId="77777777">
        <w:trPr>
          <w:trHeight w:val="415"/>
        </w:trPr>
        <w:tc>
          <w:tcPr>
            <w:tcW w:w="1620" w:type="dxa"/>
            <w:tcBorders>
              <w:top w:val="nil"/>
              <w:left w:val="nil"/>
              <w:bottom w:val="nil"/>
              <w:right w:val="single" w:sz="4" w:space="0" w:color="000000"/>
            </w:tcBorders>
            <w:tcMar>
              <w:top w:w="-93" w:type="dxa"/>
              <w:left w:w="-93" w:type="dxa"/>
              <w:bottom w:w="-93" w:type="dxa"/>
              <w:right w:w="-93" w:type="dxa"/>
            </w:tcMar>
            <w:vAlign w:val="center"/>
          </w:tcPr>
          <w:p w14:paraId="1F837367" w14:textId="77777777" w:rsidR="005C7D9A" w:rsidRDefault="00000000">
            <w:pPr>
              <w:spacing w:after="200" w:line="240" w:lineRule="auto"/>
              <w:ind w:firstLine="0"/>
              <w:rPr>
                <w:i/>
              </w:rPr>
            </w:pPr>
            <w:proofErr w:type="spellStart"/>
            <w:r>
              <w:rPr>
                <w:i/>
              </w:rPr>
              <w:t>Amministratrice</w:t>
            </w:r>
            <w:proofErr w:type="spellEnd"/>
          </w:p>
        </w:tc>
        <w:tc>
          <w:tcPr>
            <w:tcW w:w="1965" w:type="dxa"/>
            <w:tcBorders>
              <w:top w:val="nil"/>
              <w:left w:val="nil"/>
              <w:bottom w:val="nil"/>
              <w:right w:val="nil"/>
            </w:tcBorders>
            <w:tcMar>
              <w:top w:w="-93" w:type="dxa"/>
              <w:left w:w="-93" w:type="dxa"/>
              <w:bottom w:w="-93" w:type="dxa"/>
              <w:right w:w="-93" w:type="dxa"/>
            </w:tcMar>
            <w:vAlign w:val="center"/>
          </w:tcPr>
          <w:p w14:paraId="10EEF579" w14:textId="77777777" w:rsidR="005C7D9A" w:rsidRDefault="00000000">
            <w:pPr>
              <w:spacing w:after="200" w:line="240" w:lineRule="auto"/>
              <w:ind w:firstLine="0"/>
              <w:jc w:val="center"/>
            </w:pPr>
            <w:r>
              <w:t>687</w:t>
            </w:r>
          </w:p>
        </w:tc>
        <w:tc>
          <w:tcPr>
            <w:tcW w:w="1965"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3A4BE3E2" w14:textId="77777777" w:rsidR="005C7D9A" w:rsidRDefault="00000000">
            <w:pPr>
              <w:spacing w:after="200" w:line="240" w:lineRule="auto"/>
              <w:ind w:firstLine="0"/>
              <w:jc w:val="center"/>
            </w:pPr>
            <w:r>
              <w:t>755</w:t>
            </w:r>
          </w:p>
        </w:tc>
        <w:tc>
          <w:tcPr>
            <w:tcW w:w="1950"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0C722AC9" w14:textId="77777777" w:rsidR="005C7D9A" w:rsidRDefault="00000000">
            <w:pPr>
              <w:spacing w:after="200" w:line="240" w:lineRule="auto"/>
              <w:ind w:firstLine="0"/>
              <w:jc w:val="center"/>
            </w:pPr>
            <w:r>
              <w:t>0.93</w:t>
            </w:r>
          </w:p>
        </w:tc>
      </w:tr>
      <w:tr w:rsidR="005C7D9A" w14:paraId="451FA3C1" w14:textId="77777777">
        <w:trPr>
          <w:trHeight w:val="415"/>
        </w:trPr>
        <w:tc>
          <w:tcPr>
            <w:tcW w:w="1620" w:type="dxa"/>
            <w:tcBorders>
              <w:top w:val="single" w:sz="4" w:space="0" w:color="000000"/>
              <w:left w:val="nil"/>
              <w:bottom w:val="single" w:sz="4" w:space="0" w:color="000000"/>
              <w:right w:val="single" w:sz="4" w:space="0" w:color="000000"/>
            </w:tcBorders>
            <w:tcMar>
              <w:top w:w="-93" w:type="dxa"/>
              <w:left w:w="-93" w:type="dxa"/>
              <w:bottom w:w="-93" w:type="dxa"/>
              <w:right w:w="-93" w:type="dxa"/>
            </w:tcMar>
            <w:vAlign w:val="center"/>
          </w:tcPr>
          <w:p w14:paraId="3AACF03B" w14:textId="77777777" w:rsidR="005C7D9A" w:rsidRDefault="00000000">
            <w:pPr>
              <w:spacing w:after="200" w:line="240" w:lineRule="auto"/>
              <w:ind w:firstLine="0"/>
              <w:rPr>
                <w:i/>
              </w:rPr>
            </w:pPr>
            <w:r>
              <w:rPr>
                <w:i/>
              </w:rPr>
              <w:t>Il CEO</w:t>
            </w:r>
          </w:p>
        </w:tc>
        <w:tc>
          <w:tcPr>
            <w:tcW w:w="1965" w:type="dxa"/>
            <w:tcBorders>
              <w:top w:val="single" w:sz="4" w:space="0" w:color="000000"/>
              <w:left w:val="nil"/>
              <w:bottom w:val="single" w:sz="4" w:space="0" w:color="000000"/>
              <w:right w:val="nil"/>
            </w:tcBorders>
            <w:tcMar>
              <w:top w:w="-93" w:type="dxa"/>
              <w:left w:w="-93" w:type="dxa"/>
              <w:bottom w:w="-93" w:type="dxa"/>
              <w:right w:w="-93" w:type="dxa"/>
            </w:tcMar>
            <w:vAlign w:val="center"/>
          </w:tcPr>
          <w:p w14:paraId="1788D61C" w14:textId="77777777" w:rsidR="005C7D9A" w:rsidRDefault="00000000">
            <w:pPr>
              <w:spacing w:after="200" w:line="240" w:lineRule="auto"/>
              <w:ind w:firstLine="0"/>
              <w:jc w:val="center"/>
            </w:pPr>
            <w:r>
              <w:t>3,509</w:t>
            </w:r>
          </w:p>
        </w:tc>
        <w:tc>
          <w:tcPr>
            <w:tcW w:w="1965" w:type="dxa"/>
            <w:tcBorders>
              <w:top w:val="nil"/>
              <w:left w:val="nil"/>
              <w:bottom w:val="single" w:sz="4" w:space="0" w:color="000000"/>
              <w:right w:val="nil"/>
            </w:tcBorders>
            <w:tcMar>
              <w:top w:w="-93" w:type="dxa"/>
              <w:left w:w="-93" w:type="dxa"/>
              <w:bottom w:w="-93" w:type="dxa"/>
              <w:right w:w="-93" w:type="dxa"/>
            </w:tcMar>
            <w:vAlign w:val="center"/>
          </w:tcPr>
          <w:p w14:paraId="778ABF5E" w14:textId="77777777" w:rsidR="005C7D9A" w:rsidRDefault="00000000">
            <w:pPr>
              <w:spacing w:after="200" w:line="240" w:lineRule="auto"/>
              <w:ind w:firstLine="0"/>
              <w:jc w:val="center"/>
            </w:pPr>
            <w:r>
              <w:t>4,942</w:t>
            </w:r>
          </w:p>
        </w:tc>
        <w:tc>
          <w:tcPr>
            <w:tcW w:w="1950" w:type="dxa"/>
            <w:tcBorders>
              <w:top w:val="nil"/>
              <w:left w:val="nil"/>
              <w:bottom w:val="single" w:sz="4" w:space="0" w:color="000000"/>
              <w:right w:val="nil"/>
            </w:tcBorders>
            <w:tcMar>
              <w:top w:w="-93" w:type="dxa"/>
              <w:left w:w="-93" w:type="dxa"/>
              <w:bottom w:w="-93" w:type="dxa"/>
              <w:right w:w="-93" w:type="dxa"/>
            </w:tcMar>
            <w:vAlign w:val="center"/>
          </w:tcPr>
          <w:p w14:paraId="20DC7921" w14:textId="77777777" w:rsidR="005C7D9A" w:rsidRDefault="00000000">
            <w:pPr>
              <w:spacing w:after="200" w:line="240" w:lineRule="auto"/>
              <w:ind w:firstLine="0"/>
              <w:jc w:val="center"/>
            </w:pPr>
            <w:r>
              <w:t>0.81</w:t>
            </w:r>
          </w:p>
        </w:tc>
      </w:tr>
      <w:tr w:rsidR="005C7D9A" w14:paraId="5677C192" w14:textId="77777777">
        <w:trPr>
          <w:trHeight w:val="445"/>
        </w:trPr>
        <w:tc>
          <w:tcPr>
            <w:tcW w:w="1620" w:type="dxa"/>
            <w:tcBorders>
              <w:top w:val="nil"/>
              <w:left w:val="nil"/>
              <w:bottom w:val="single" w:sz="8" w:space="0" w:color="000000"/>
              <w:right w:val="single" w:sz="4" w:space="0" w:color="000000"/>
            </w:tcBorders>
            <w:tcMar>
              <w:top w:w="-93" w:type="dxa"/>
              <w:left w:w="-93" w:type="dxa"/>
              <w:bottom w:w="-93" w:type="dxa"/>
              <w:right w:w="-93" w:type="dxa"/>
            </w:tcMar>
            <w:vAlign w:val="center"/>
          </w:tcPr>
          <w:p w14:paraId="69DA08DD" w14:textId="77777777" w:rsidR="005C7D9A" w:rsidRDefault="00000000">
            <w:pPr>
              <w:spacing w:after="200" w:line="240" w:lineRule="auto"/>
              <w:ind w:firstLine="0"/>
              <w:rPr>
                <w:i/>
              </w:rPr>
            </w:pPr>
            <w:r>
              <w:rPr>
                <w:i/>
              </w:rPr>
              <w:t>La CEO</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6C92F9BF" w14:textId="77777777" w:rsidR="005C7D9A" w:rsidRDefault="00000000">
            <w:pPr>
              <w:spacing w:after="200" w:line="240" w:lineRule="auto"/>
              <w:ind w:firstLine="0"/>
              <w:jc w:val="center"/>
            </w:pPr>
            <w:r>
              <w:t>107</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5D841111" w14:textId="77777777" w:rsidR="005C7D9A" w:rsidRDefault="00000000">
            <w:pPr>
              <w:spacing w:after="200" w:line="240" w:lineRule="auto"/>
              <w:ind w:firstLine="0"/>
              <w:jc w:val="center"/>
            </w:pPr>
            <w:r>
              <w:t>83</w:t>
            </w:r>
          </w:p>
        </w:tc>
        <w:tc>
          <w:tcPr>
            <w:tcW w:w="1950" w:type="dxa"/>
            <w:tcBorders>
              <w:top w:val="nil"/>
              <w:left w:val="nil"/>
              <w:bottom w:val="single" w:sz="8" w:space="0" w:color="000000"/>
              <w:right w:val="nil"/>
            </w:tcBorders>
            <w:tcMar>
              <w:top w:w="-93" w:type="dxa"/>
              <w:left w:w="-93" w:type="dxa"/>
              <w:bottom w:w="-93" w:type="dxa"/>
              <w:right w:w="-93" w:type="dxa"/>
            </w:tcMar>
            <w:vAlign w:val="center"/>
          </w:tcPr>
          <w:p w14:paraId="2E8F9C9B" w14:textId="77777777" w:rsidR="005C7D9A" w:rsidRDefault="00000000">
            <w:pPr>
              <w:spacing w:after="200" w:line="240" w:lineRule="auto"/>
              <w:ind w:firstLine="0"/>
              <w:jc w:val="center"/>
            </w:pPr>
            <w:r>
              <w:t>1.10</w:t>
            </w:r>
          </w:p>
        </w:tc>
      </w:tr>
      <w:tr w:rsidR="005C7D9A" w14:paraId="7AC29759" w14:textId="77777777">
        <w:trPr>
          <w:trHeight w:val="445"/>
        </w:trPr>
        <w:tc>
          <w:tcPr>
            <w:tcW w:w="1620" w:type="dxa"/>
            <w:tcBorders>
              <w:top w:val="nil"/>
              <w:left w:val="nil"/>
              <w:bottom w:val="single" w:sz="8" w:space="0" w:color="000000"/>
              <w:right w:val="single" w:sz="4" w:space="0" w:color="000000"/>
            </w:tcBorders>
            <w:tcMar>
              <w:top w:w="-93" w:type="dxa"/>
              <w:left w:w="-93" w:type="dxa"/>
              <w:bottom w:w="-93" w:type="dxa"/>
              <w:right w:w="-93" w:type="dxa"/>
            </w:tcMar>
            <w:vAlign w:val="center"/>
          </w:tcPr>
          <w:p w14:paraId="4B49E105" w14:textId="77777777" w:rsidR="005C7D9A" w:rsidRDefault="00000000">
            <w:pPr>
              <w:spacing w:after="200" w:line="240" w:lineRule="auto"/>
              <w:ind w:firstLine="0"/>
            </w:pPr>
            <w:r>
              <w:rPr>
                <w:b/>
              </w:rPr>
              <w:t>Total</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6C4A54A1" w14:textId="77777777" w:rsidR="005C7D9A" w:rsidRDefault="00000000">
            <w:pPr>
              <w:spacing w:after="200" w:line="240" w:lineRule="auto"/>
              <w:ind w:firstLine="0"/>
              <w:jc w:val="center"/>
            </w:pPr>
            <w:r>
              <w:rPr>
                <w:b/>
              </w:rPr>
              <w:t>69,289</w:t>
            </w:r>
          </w:p>
        </w:tc>
        <w:tc>
          <w:tcPr>
            <w:tcW w:w="1965" w:type="dxa"/>
            <w:tcBorders>
              <w:top w:val="nil"/>
              <w:left w:val="nil"/>
              <w:bottom w:val="single" w:sz="8" w:space="0" w:color="000000"/>
              <w:right w:val="nil"/>
            </w:tcBorders>
            <w:tcMar>
              <w:top w:w="-93" w:type="dxa"/>
              <w:left w:w="-93" w:type="dxa"/>
              <w:bottom w:w="-93" w:type="dxa"/>
              <w:right w:w="-93" w:type="dxa"/>
            </w:tcMar>
            <w:vAlign w:val="center"/>
          </w:tcPr>
          <w:p w14:paraId="7A9DA031" w14:textId="77777777" w:rsidR="005C7D9A" w:rsidRDefault="00000000">
            <w:pPr>
              <w:spacing w:after="200" w:line="240" w:lineRule="auto"/>
              <w:ind w:firstLine="0"/>
              <w:jc w:val="center"/>
            </w:pPr>
            <w:r>
              <w:rPr>
                <w:b/>
              </w:rPr>
              <w:t>160,171</w:t>
            </w:r>
          </w:p>
        </w:tc>
        <w:tc>
          <w:tcPr>
            <w:tcW w:w="1950" w:type="dxa"/>
            <w:tcBorders>
              <w:top w:val="nil"/>
              <w:left w:val="nil"/>
              <w:bottom w:val="single" w:sz="8" w:space="0" w:color="000000"/>
              <w:right w:val="nil"/>
            </w:tcBorders>
            <w:tcMar>
              <w:top w:w="-93" w:type="dxa"/>
              <w:left w:w="-93" w:type="dxa"/>
              <w:bottom w:w="-93" w:type="dxa"/>
              <w:right w:w="-93" w:type="dxa"/>
            </w:tcMar>
            <w:vAlign w:val="center"/>
          </w:tcPr>
          <w:p w14:paraId="0C1773D0" w14:textId="77777777" w:rsidR="005C7D9A" w:rsidRDefault="00000000">
            <w:pPr>
              <w:spacing w:after="200" w:line="240" w:lineRule="auto"/>
              <w:jc w:val="center"/>
            </w:pPr>
            <w:r>
              <w:t xml:space="preserve"> </w:t>
            </w:r>
          </w:p>
        </w:tc>
      </w:tr>
    </w:tbl>
    <w:p w14:paraId="163538A8" w14:textId="77777777" w:rsidR="005C7D9A" w:rsidRDefault="005C7D9A">
      <w:pPr>
        <w:spacing w:line="360" w:lineRule="auto"/>
        <w:rPr>
          <w:sz w:val="24"/>
          <w:szCs w:val="24"/>
        </w:rPr>
      </w:pPr>
    </w:p>
    <w:p w14:paraId="12CB3A4F" w14:textId="77777777" w:rsidR="005C7D9A" w:rsidRDefault="00000000">
      <w:pPr>
        <w:spacing w:line="240" w:lineRule="auto"/>
        <w:rPr>
          <w:sz w:val="24"/>
          <w:szCs w:val="24"/>
        </w:rPr>
      </w:pPr>
      <w:r>
        <w:rPr>
          <w:sz w:val="24"/>
          <w:szCs w:val="24"/>
        </w:rPr>
        <w:t xml:space="preserve">To study entrepreneur case, we will consider tweets about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xml:space="preserve">. For the positions on the boards of firms, we will group together tweets about </w:t>
      </w:r>
      <w:proofErr w:type="spellStart"/>
      <w:r>
        <w:rPr>
          <w:i/>
          <w:sz w:val="24"/>
          <w:szCs w:val="24"/>
        </w:rPr>
        <w:t>direttore</w:t>
      </w:r>
      <w:proofErr w:type="spellEnd"/>
      <w:r>
        <w:rPr>
          <w:sz w:val="24"/>
          <w:szCs w:val="24"/>
        </w:rPr>
        <w:t xml:space="preserve">, </w:t>
      </w:r>
      <w:r>
        <w:rPr>
          <w:i/>
          <w:sz w:val="24"/>
          <w:szCs w:val="24"/>
        </w:rPr>
        <w:t>il CEO</w:t>
      </w:r>
      <w:r>
        <w:rPr>
          <w:sz w:val="24"/>
          <w:szCs w:val="24"/>
        </w:rPr>
        <w:t xml:space="preserve"> and </w:t>
      </w:r>
      <w:proofErr w:type="spellStart"/>
      <w:r>
        <w:rPr>
          <w:i/>
          <w:sz w:val="24"/>
          <w:szCs w:val="24"/>
        </w:rPr>
        <w:t>amministratore</w:t>
      </w:r>
      <w:proofErr w:type="spellEnd"/>
      <w:r>
        <w:rPr>
          <w:i/>
          <w:sz w:val="24"/>
          <w:szCs w:val="24"/>
        </w:rPr>
        <w:t xml:space="preserve"> </w:t>
      </w:r>
      <w:r>
        <w:rPr>
          <w:sz w:val="24"/>
          <w:szCs w:val="24"/>
        </w:rPr>
        <w:t xml:space="preserve">for male case, and </w:t>
      </w:r>
      <w:proofErr w:type="spellStart"/>
      <w:r>
        <w:rPr>
          <w:i/>
          <w:sz w:val="24"/>
          <w:szCs w:val="24"/>
        </w:rPr>
        <w:t>direttrice</w:t>
      </w:r>
      <w:proofErr w:type="spellEnd"/>
      <w:r>
        <w:rPr>
          <w:sz w:val="24"/>
          <w:szCs w:val="24"/>
        </w:rPr>
        <w:t xml:space="preserve">, </w:t>
      </w:r>
      <w:r>
        <w:rPr>
          <w:i/>
          <w:sz w:val="24"/>
          <w:szCs w:val="24"/>
        </w:rPr>
        <w:t xml:space="preserve">la CEO </w:t>
      </w:r>
      <w:r>
        <w:rPr>
          <w:sz w:val="24"/>
          <w:szCs w:val="24"/>
        </w:rPr>
        <w:t xml:space="preserve">and </w:t>
      </w:r>
      <w:proofErr w:type="spellStart"/>
      <w:r>
        <w:rPr>
          <w:i/>
          <w:sz w:val="24"/>
          <w:szCs w:val="24"/>
        </w:rPr>
        <w:t>amministatrice</w:t>
      </w:r>
      <w:proofErr w:type="spellEnd"/>
      <w:r>
        <w:rPr>
          <w:sz w:val="24"/>
          <w:szCs w:val="24"/>
        </w:rPr>
        <w:t xml:space="preserve"> for the female case.</w:t>
      </w:r>
    </w:p>
    <w:p w14:paraId="1988A1CC" w14:textId="77777777" w:rsidR="005C7D9A" w:rsidRDefault="00000000">
      <w:pPr>
        <w:spacing w:line="240" w:lineRule="auto"/>
        <w:ind w:firstLine="0"/>
        <w:rPr>
          <w:sz w:val="24"/>
          <w:szCs w:val="24"/>
        </w:rPr>
      </w:pPr>
      <w:r>
        <w:rPr>
          <w:sz w:val="24"/>
          <w:szCs w:val="24"/>
        </w:rPr>
        <w:t xml:space="preserve">Calculating the positive comparative advantage index on the total number of tweets (Table 4) and not internally in the two classes we note that for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xml:space="preserve"> the index is lower at 0.69 and 1.33 respectively. In contrast, for positions on the boards of firms, it is higher at 1.54 for male and 1.73 for female, respectively.  In general, the index calculated on the first case (entrepreneur) is lower and equal to 0.74 than that of the second case (positions in the boards of firms) which is 1.54 more than double.</w:t>
      </w:r>
    </w:p>
    <w:p w14:paraId="29B3D252" w14:textId="77777777" w:rsidR="005C7D9A" w:rsidRDefault="005C7D9A">
      <w:pPr>
        <w:spacing w:line="360" w:lineRule="auto"/>
        <w:rPr>
          <w:sz w:val="24"/>
          <w:szCs w:val="24"/>
        </w:rPr>
      </w:pPr>
    </w:p>
    <w:p w14:paraId="72986B01" w14:textId="77777777" w:rsidR="005C7D9A" w:rsidRDefault="00000000">
      <w:pPr>
        <w:spacing w:after="200" w:line="360" w:lineRule="auto"/>
        <w:ind w:firstLine="0"/>
        <w:rPr>
          <w:sz w:val="24"/>
          <w:szCs w:val="24"/>
        </w:rPr>
      </w:pPr>
      <w:r>
        <w:rPr>
          <w:i/>
          <w:color w:val="44546A"/>
          <w:sz w:val="18"/>
          <w:szCs w:val="18"/>
        </w:rPr>
        <w:t>Table 4. Number of positive and negative tweets on male and female classes and positive comparative advantage index.</w:t>
      </w:r>
    </w:p>
    <w:tbl>
      <w:tblPr>
        <w:tblStyle w:val="a6"/>
        <w:tblW w:w="763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460"/>
        <w:gridCol w:w="1635"/>
        <w:gridCol w:w="1620"/>
        <w:gridCol w:w="1920"/>
      </w:tblGrid>
      <w:tr w:rsidR="005C7D9A" w14:paraId="69077935" w14:textId="77777777">
        <w:trPr>
          <w:trHeight w:val="445"/>
        </w:trPr>
        <w:tc>
          <w:tcPr>
            <w:tcW w:w="2460" w:type="dxa"/>
            <w:tcBorders>
              <w:top w:val="nil"/>
              <w:left w:val="nil"/>
              <w:bottom w:val="single" w:sz="8" w:space="0" w:color="000000"/>
              <w:right w:val="nil"/>
            </w:tcBorders>
            <w:tcMar>
              <w:top w:w="20" w:type="dxa"/>
              <w:left w:w="20" w:type="dxa"/>
              <w:bottom w:w="100" w:type="dxa"/>
              <w:right w:w="20" w:type="dxa"/>
            </w:tcMar>
            <w:vAlign w:val="center"/>
          </w:tcPr>
          <w:p w14:paraId="5C4DEFAF" w14:textId="77777777" w:rsidR="005C7D9A" w:rsidRDefault="00000000">
            <w:pPr>
              <w:widowControl w:val="0"/>
              <w:pBdr>
                <w:top w:val="nil"/>
                <w:left w:val="nil"/>
                <w:bottom w:val="nil"/>
                <w:right w:val="nil"/>
                <w:between w:val="nil"/>
              </w:pBdr>
              <w:spacing w:line="240" w:lineRule="auto"/>
              <w:ind w:firstLine="0"/>
              <w:jc w:val="center"/>
            </w:pPr>
            <w:r>
              <w:t xml:space="preserve"> </w:t>
            </w:r>
          </w:p>
        </w:tc>
        <w:tc>
          <w:tcPr>
            <w:tcW w:w="1635" w:type="dxa"/>
            <w:tcBorders>
              <w:top w:val="nil"/>
              <w:left w:val="nil"/>
              <w:bottom w:val="single" w:sz="8" w:space="0" w:color="000000"/>
              <w:right w:val="nil"/>
            </w:tcBorders>
            <w:tcMar>
              <w:top w:w="20" w:type="dxa"/>
              <w:left w:w="20" w:type="dxa"/>
              <w:bottom w:w="100" w:type="dxa"/>
              <w:right w:w="20" w:type="dxa"/>
            </w:tcMar>
            <w:vAlign w:val="center"/>
          </w:tcPr>
          <w:p w14:paraId="34F10330" w14:textId="77777777" w:rsidR="005C7D9A" w:rsidRDefault="00000000">
            <w:pPr>
              <w:widowControl w:val="0"/>
              <w:pBdr>
                <w:top w:val="nil"/>
                <w:left w:val="nil"/>
                <w:bottom w:val="nil"/>
                <w:right w:val="nil"/>
                <w:between w:val="nil"/>
              </w:pBdr>
              <w:spacing w:line="240" w:lineRule="auto"/>
              <w:ind w:firstLine="0"/>
              <w:jc w:val="center"/>
              <w:rPr>
                <w:b/>
              </w:rPr>
            </w:pPr>
            <w:r>
              <w:rPr>
                <w:b/>
              </w:rPr>
              <w:t xml:space="preserve">Number of </w:t>
            </w:r>
          </w:p>
          <w:p w14:paraId="1D141085" w14:textId="77777777" w:rsidR="005C7D9A" w:rsidRDefault="00000000">
            <w:pPr>
              <w:widowControl w:val="0"/>
              <w:pBdr>
                <w:top w:val="nil"/>
                <w:left w:val="nil"/>
                <w:bottom w:val="nil"/>
                <w:right w:val="nil"/>
                <w:between w:val="nil"/>
              </w:pBdr>
              <w:spacing w:line="240" w:lineRule="auto"/>
              <w:ind w:firstLine="0"/>
              <w:jc w:val="center"/>
              <w:rPr>
                <w:b/>
              </w:rPr>
            </w:pPr>
            <w:r>
              <w:rPr>
                <w:b/>
              </w:rPr>
              <w:t>positive tweets</w:t>
            </w:r>
          </w:p>
        </w:tc>
        <w:tc>
          <w:tcPr>
            <w:tcW w:w="1620" w:type="dxa"/>
            <w:tcBorders>
              <w:top w:val="nil"/>
              <w:left w:val="nil"/>
              <w:bottom w:val="single" w:sz="8" w:space="0" w:color="000000"/>
              <w:right w:val="nil"/>
            </w:tcBorders>
            <w:tcMar>
              <w:top w:w="20" w:type="dxa"/>
              <w:left w:w="20" w:type="dxa"/>
              <w:bottom w:w="100" w:type="dxa"/>
              <w:right w:w="20" w:type="dxa"/>
            </w:tcMar>
            <w:vAlign w:val="center"/>
          </w:tcPr>
          <w:p w14:paraId="25CA8E1E" w14:textId="77777777" w:rsidR="005C7D9A" w:rsidRDefault="00000000">
            <w:pPr>
              <w:widowControl w:val="0"/>
              <w:pBdr>
                <w:top w:val="nil"/>
                <w:left w:val="nil"/>
                <w:bottom w:val="nil"/>
                <w:right w:val="nil"/>
                <w:between w:val="nil"/>
              </w:pBdr>
              <w:spacing w:line="240" w:lineRule="auto"/>
              <w:ind w:firstLine="0"/>
              <w:jc w:val="center"/>
              <w:rPr>
                <w:b/>
              </w:rPr>
            </w:pPr>
            <w:r>
              <w:rPr>
                <w:b/>
              </w:rPr>
              <w:t xml:space="preserve">Number of </w:t>
            </w:r>
          </w:p>
          <w:p w14:paraId="66BAD988" w14:textId="77777777" w:rsidR="005C7D9A" w:rsidRDefault="00000000">
            <w:pPr>
              <w:widowControl w:val="0"/>
              <w:pBdr>
                <w:top w:val="nil"/>
                <w:left w:val="nil"/>
                <w:bottom w:val="nil"/>
                <w:right w:val="nil"/>
                <w:between w:val="nil"/>
              </w:pBdr>
              <w:spacing w:line="240" w:lineRule="auto"/>
              <w:ind w:firstLine="0"/>
              <w:jc w:val="center"/>
              <w:rPr>
                <w:b/>
              </w:rPr>
            </w:pPr>
            <w:r>
              <w:rPr>
                <w:b/>
              </w:rPr>
              <w:t>negative tweets</w:t>
            </w:r>
          </w:p>
        </w:tc>
        <w:tc>
          <w:tcPr>
            <w:tcW w:w="1920" w:type="dxa"/>
            <w:tcBorders>
              <w:top w:val="nil"/>
              <w:left w:val="nil"/>
              <w:bottom w:val="single" w:sz="8" w:space="0" w:color="000000"/>
              <w:right w:val="nil"/>
            </w:tcBorders>
            <w:tcMar>
              <w:top w:w="20" w:type="dxa"/>
              <w:left w:w="20" w:type="dxa"/>
              <w:bottom w:w="100" w:type="dxa"/>
              <w:right w:w="20" w:type="dxa"/>
            </w:tcMar>
            <w:vAlign w:val="center"/>
          </w:tcPr>
          <w:p w14:paraId="29381EEF" w14:textId="77777777" w:rsidR="005C7D9A" w:rsidRDefault="00000000">
            <w:pPr>
              <w:widowControl w:val="0"/>
              <w:pBdr>
                <w:top w:val="nil"/>
                <w:left w:val="nil"/>
                <w:bottom w:val="nil"/>
                <w:right w:val="nil"/>
                <w:between w:val="nil"/>
              </w:pBdr>
              <w:spacing w:line="240" w:lineRule="auto"/>
              <w:ind w:firstLine="0"/>
              <w:jc w:val="center"/>
              <w:rPr>
                <w:b/>
              </w:rPr>
            </w:pPr>
            <w:r>
              <w:rPr>
                <w:b/>
              </w:rPr>
              <w:t>Positive comparative advantage index</w:t>
            </w:r>
          </w:p>
        </w:tc>
      </w:tr>
      <w:tr w:rsidR="005C7D9A" w14:paraId="201DECD3" w14:textId="77777777">
        <w:trPr>
          <w:trHeight w:val="300"/>
        </w:trPr>
        <w:tc>
          <w:tcPr>
            <w:tcW w:w="2460" w:type="dxa"/>
            <w:tcBorders>
              <w:top w:val="nil"/>
              <w:left w:val="nil"/>
              <w:bottom w:val="nil"/>
              <w:right w:val="single" w:sz="4" w:space="0" w:color="000000"/>
            </w:tcBorders>
            <w:tcMar>
              <w:top w:w="20" w:type="dxa"/>
              <w:left w:w="20" w:type="dxa"/>
              <w:bottom w:w="100" w:type="dxa"/>
              <w:right w:w="20" w:type="dxa"/>
            </w:tcMar>
            <w:vAlign w:val="center"/>
          </w:tcPr>
          <w:p w14:paraId="5EC1E3E8" w14:textId="77777777" w:rsidR="005C7D9A" w:rsidRDefault="00000000">
            <w:pPr>
              <w:widowControl w:val="0"/>
              <w:pBdr>
                <w:top w:val="nil"/>
                <w:left w:val="nil"/>
                <w:bottom w:val="nil"/>
                <w:right w:val="nil"/>
                <w:between w:val="nil"/>
              </w:pBdr>
              <w:spacing w:line="240" w:lineRule="auto"/>
              <w:ind w:firstLine="0"/>
              <w:jc w:val="left"/>
            </w:pPr>
            <w:proofErr w:type="spellStart"/>
            <w:r>
              <w:rPr>
                <w:i/>
              </w:rPr>
              <w:t>Imprenditore</w:t>
            </w:r>
            <w:proofErr w:type="spellEnd"/>
          </w:p>
        </w:tc>
        <w:tc>
          <w:tcPr>
            <w:tcW w:w="1635" w:type="dxa"/>
            <w:tcBorders>
              <w:top w:val="nil"/>
              <w:left w:val="nil"/>
              <w:bottom w:val="nil"/>
              <w:right w:val="nil"/>
            </w:tcBorders>
            <w:tcMar>
              <w:top w:w="20" w:type="dxa"/>
              <w:left w:w="20" w:type="dxa"/>
              <w:bottom w:w="100" w:type="dxa"/>
              <w:right w:w="20" w:type="dxa"/>
            </w:tcMar>
            <w:vAlign w:val="center"/>
          </w:tcPr>
          <w:p w14:paraId="4F512C92" w14:textId="77777777" w:rsidR="005C7D9A" w:rsidRDefault="00000000">
            <w:pPr>
              <w:spacing w:line="240" w:lineRule="auto"/>
              <w:ind w:firstLine="0"/>
              <w:jc w:val="center"/>
            </w:pPr>
            <w:r>
              <w:t>142,687</w:t>
            </w:r>
          </w:p>
        </w:tc>
        <w:tc>
          <w:tcPr>
            <w:tcW w:w="1620" w:type="dxa"/>
            <w:tcBorders>
              <w:top w:val="nil"/>
              <w:left w:val="nil"/>
              <w:bottom w:val="nil"/>
              <w:right w:val="nil"/>
            </w:tcBorders>
            <w:tcMar>
              <w:top w:w="20" w:type="dxa"/>
              <w:left w:w="20" w:type="dxa"/>
              <w:bottom w:w="100" w:type="dxa"/>
              <w:right w:w="20" w:type="dxa"/>
            </w:tcMar>
            <w:vAlign w:val="center"/>
          </w:tcPr>
          <w:p w14:paraId="7827CF74" w14:textId="77777777" w:rsidR="005C7D9A" w:rsidRDefault="00000000">
            <w:pPr>
              <w:spacing w:line="240" w:lineRule="auto"/>
              <w:ind w:firstLine="0"/>
              <w:jc w:val="center"/>
            </w:pPr>
            <w:r>
              <w:t>481,530</w:t>
            </w:r>
          </w:p>
        </w:tc>
        <w:tc>
          <w:tcPr>
            <w:tcW w:w="1920" w:type="dxa"/>
            <w:tcBorders>
              <w:top w:val="nil"/>
              <w:left w:val="nil"/>
              <w:bottom w:val="nil"/>
              <w:right w:val="nil"/>
            </w:tcBorders>
            <w:tcMar>
              <w:top w:w="20" w:type="dxa"/>
              <w:left w:w="20" w:type="dxa"/>
              <w:bottom w:w="100" w:type="dxa"/>
              <w:right w:w="20" w:type="dxa"/>
            </w:tcMar>
            <w:vAlign w:val="center"/>
          </w:tcPr>
          <w:p w14:paraId="2A4E7CFE" w14:textId="77777777" w:rsidR="005C7D9A" w:rsidRDefault="00000000">
            <w:pPr>
              <w:spacing w:line="240" w:lineRule="auto"/>
              <w:ind w:firstLine="0"/>
              <w:jc w:val="center"/>
            </w:pPr>
            <w:r>
              <w:t>0.69</w:t>
            </w:r>
          </w:p>
        </w:tc>
      </w:tr>
      <w:tr w:rsidR="005C7D9A" w14:paraId="2D03B188" w14:textId="77777777">
        <w:trPr>
          <w:trHeight w:val="300"/>
        </w:trPr>
        <w:tc>
          <w:tcPr>
            <w:tcW w:w="2460" w:type="dxa"/>
            <w:tcBorders>
              <w:top w:val="single" w:sz="4" w:space="0" w:color="000000"/>
              <w:left w:val="nil"/>
              <w:bottom w:val="single" w:sz="8" w:space="0" w:color="000000"/>
              <w:right w:val="single" w:sz="4" w:space="0" w:color="000000"/>
            </w:tcBorders>
            <w:tcMar>
              <w:top w:w="20" w:type="dxa"/>
              <w:left w:w="20" w:type="dxa"/>
              <w:bottom w:w="100" w:type="dxa"/>
              <w:right w:w="20" w:type="dxa"/>
            </w:tcMar>
            <w:vAlign w:val="center"/>
          </w:tcPr>
          <w:p w14:paraId="3713183F" w14:textId="77777777" w:rsidR="005C7D9A" w:rsidRDefault="00000000">
            <w:pPr>
              <w:spacing w:line="240" w:lineRule="auto"/>
              <w:ind w:firstLine="0"/>
              <w:jc w:val="left"/>
            </w:pPr>
            <w:proofErr w:type="spellStart"/>
            <w:r>
              <w:rPr>
                <w:i/>
              </w:rPr>
              <w:t>Imprenditrice</w:t>
            </w:r>
            <w:proofErr w:type="spellEnd"/>
          </w:p>
        </w:tc>
        <w:tc>
          <w:tcPr>
            <w:tcW w:w="1635"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7295E833" w14:textId="77777777" w:rsidR="005C7D9A" w:rsidRDefault="00000000">
            <w:pPr>
              <w:spacing w:line="240" w:lineRule="auto"/>
              <w:ind w:firstLine="0"/>
              <w:jc w:val="center"/>
            </w:pPr>
            <w:r>
              <w:t>22,913</w:t>
            </w:r>
          </w:p>
        </w:tc>
        <w:tc>
          <w:tcPr>
            <w:tcW w:w="16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7BF9D905" w14:textId="77777777" w:rsidR="005C7D9A" w:rsidRDefault="00000000">
            <w:pPr>
              <w:spacing w:line="240" w:lineRule="auto"/>
              <w:ind w:firstLine="0"/>
              <w:jc w:val="center"/>
            </w:pPr>
            <w:r>
              <w:t>28,872</w:t>
            </w:r>
          </w:p>
        </w:tc>
        <w:tc>
          <w:tcPr>
            <w:tcW w:w="19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3B07959E" w14:textId="77777777" w:rsidR="005C7D9A" w:rsidRDefault="00000000">
            <w:pPr>
              <w:spacing w:line="240" w:lineRule="auto"/>
              <w:ind w:firstLine="0"/>
              <w:jc w:val="center"/>
            </w:pPr>
            <w:r>
              <w:t>1.33</w:t>
            </w:r>
          </w:p>
        </w:tc>
      </w:tr>
      <w:tr w:rsidR="005C7D9A" w14:paraId="24BC28AB" w14:textId="77777777">
        <w:trPr>
          <w:trHeight w:val="300"/>
        </w:trPr>
        <w:tc>
          <w:tcPr>
            <w:tcW w:w="2460" w:type="dxa"/>
            <w:tcBorders>
              <w:top w:val="nil"/>
              <w:left w:val="nil"/>
              <w:bottom w:val="single" w:sz="8" w:space="0" w:color="000000"/>
              <w:right w:val="single" w:sz="4" w:space="0" w:color="000000"/>
            </w:tcBorders>
            <w:tcMar>
              <w:top w:w="20" w:type="dxa"/>
              <w:left w:w="20" w:type="dxa"/>
              <w:bottom w:w="100" w:type="dxa"/>
              <w:right w:w="20" w:type="dxa"/>
            </w:tcMar>
            <w:vAlign w:val="center"/>
          </w:tcPr>
          <w:p w14:paraId="01BE6DCD" w14:textId="77777777" w:rsidR="005C7D9A" w:rsidRDefault="00000000">
            <w:pPr>
              <w:spacing w:line="240" w:lineRule="auto"/>
              <w:ind w:firstLine="0"/>
              <w:jc w:val="left"/>
            </w:pPr>
            <w:r>
              <w:t>Total</w:t>
            </w:r>
          </w:p>
        </w:tc>
        <w:tc>
          <w:tcPr>
            <w:tcW w:w="1635" w:type="dxa"/>
            <w:tcBorders>
              <w:top w:val="nil"/>
              <w:left w:val="nil"/>
              <w:bottom w:val="single" w:sz="8" w:space="0" w:color="000000"/>
              <w:right w:val="nil"/>
            </w:tcBorders>
            <w:tcMar>
              <w:top w:w="20" w:type="dxa"/>
              <w:left w:w="20" w:type="dxa"/>
              <w:bottom w:w="100" w:type="dxa"/>
              <w:right w:w="20" w:type="dxa"/>
            </w:tcMar>
            <w:vAlign w:val="center"/>
          </w:tcPr>
          <w:p w14:paraId="0186F837" w14:textId="77777777" w:rsidR="005C7D9A" w:rsidRDefault="00000000">
            <w:pPr>
              <w:spacing w:line="240" w:lineRule="auto"/>
              <w:ind w:firstLine="0"/>
              <w:jc w:val="center"/>
            </w:pPr>
            <w:r>
              <w:t>165,600</w:t>
            </w:r>
          </w:p>
        </w:tc>
        <w:tc>
          <w:tcPr>
            <w:tcW w:w="1620" w:type="dxa"/>
            <w:tcBorders>
              <w:top w:val="nil"/>
              <w:left w:val="nil"/>
              <w:bottom w:val="single" w:sz="8" w:space="0" w:color="000000"/>
              <w:right w:val="nil"/>
            </w:tcBorders>
            <w:tcMar>
              <w:top w:w="20" w:type="dxa"/>
              <w:left w:w="20" w:type="dxa"/>
              <w:bottom w:w="100" w:type="dxa"/>
              <w:right w:w="20" w:type="dxa"/>
            </w:tcMar>
            <w:vAlign w:val="center"/>
          </w:tcPr>
          <w:p w14:paraId="31ED05F0" w14:textId="77777777" w:rsidR="005C7D9A" w:rsidRDefault="00000000">
            <w:pPr>
              <w:spacing w:line="240" w:lineRule="auto"/>
              <w:ind w:firstLine="0"/>
              <w:jc w:val="center"/>
            </w:pPr>
            <w:r>
              <w:t>510,402</w:t>
            </w:r>
          </w:p>
        </w:tc>
        <w:tc>
          <w:tcPr>
            <w:tcW w:w="19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6D099C40" w14:textId="77777777" w:rsidR="005C7D9A" w:rsidRDefault="00000000">
            <w:pPr>
              <w:spacing w:line="240" w:lineRule="auto"/>
              <w:ind w:firstLine="0"/>
              <w:jc w:val="center"/>
            </w:pPr>
            <w:r>
              <w:t>0.74</w:t>
            </w:r>
          </w:p>
        </w:tc>
      </w:tr>
      <w:tr w:rsidR="005C7D9A" w14:paraId="56899407" w14:textId="77777777">
        <w:trPr>
          <w:trHeight w:val="523"/>
        </w:trPr>
        <w:tc>
          <w:tcPr>
            <w:tcW w:w="2460" w:type="dxa"/>
            <w:tcBorders>
              <w:top w:val="nil"/>
              <w:left w:val="nil"/>
              <w:bottom w:val="single" w:sz="4" w:space="0" w:color="000000"/>
              <w:right w:val="single" w:sz="4" w:space="0" w:color="000000"/>
            </w:tcBorders>
            <w:tcMar>
              <w:top w:w="20" w:type="dxa"/>
              <w:left w:w="20" w:type="dxa"/>
              <w:bottom w:w="100" w:type="dxa"/>
              <w:right w:w="20" w:type="dxa"/>
            </w:tcMar>
            <w:vAlign w:val="center"/>
          </w:tcPr>
          <w:p w14:paraId="6170E915" w14:textId="77777777" w:rsidR="005C7D9A" w:rsidRDefault="00000000">
            <w:pPr>
              <w:spacing w:line="240" w:lineRule="auto"/>
              <w:ind w:firstLine="0"/>
              <w:jc w:val="left"/>
            </w:pPr>
            <w:r>
              <w:t>Male positions in the boards of firms</w:t>
            </w:r>
          </w:p>
        </w:tc>
        <w:tc>
          <w:tcPr>
            <w:tcW w:w="1635" w:type="dxa"/>
            <w:tcBorders>
              <w:top w:val="nil"/>
              <w:left w:val="nil"/>
              <w:bottom w:val="single" w:sz="4" w:space="0" w:color="000000"/>
              <w:right w:val="nil"/>
            </w:tcBorders>
            <w:tcMar>
              <w:top w:w="20" w:type="dxa"/>
              <w:left w:w="20" w:type="dxa"/>
              <w:bottom w:w="100" w:type="dxa"/>
              <w:right w:w="20" w:type="dxa"/>
            </w:tcMar>
            <w:vAlign w:val="center"/>
          </w:tcPr>
          <w:p w14:paraId="43AAB6FA" w14:textId="77777777" w:rsidR="005C7D9A" w:rsidRDefault="00000000">
            <w:pPr>
              <w:spacing w:line="240" w:lineRule="auto"/>
              <w:ind w:firstLine="0"/>
              <w:jc w:val="center"/>
            </w:pPr>
            <w:r>
              <w:t>165,003</w:t>
            </w:r>
          </w:p>
        </w:tc>
        <w:tc>
          <w:tcPr>
            <w:tcW w:w="1620" w:type="dxa"/>
            <w:tcBorders>
              <w:top w:val="nil"/>
              <w:left w:val="nil"/>
              <w:bottom w:val="single" w:sz="4" w:space="0" w:color="000000"/>
              <w:right w:val="nil"/>
            </w:tcBorders>
            <w:tcMar>
              <w:top w:w="20" w:type="dxa"/>
              <w:left w:w="20" w:type="dxa"/>
              <w:bottom w:w="100" w:type="dxa"/>
              <w:right w:w="20" w:type="dxa"/>
            </w:tcMar>
            <w:vAlign w:val="center"/>
          </w:tcPr>
          <w:p w14:paraId="073A6153" w14:textId="77777777" w:rsidR="005C7D9A" w:rsidRDefault="00000000">
            <w:pPr>
              <w:spacing w:line="240" w:lineRule="auto"/>
              <w:ind w:firstLine="0"/>
              <w:jc w:val="center"/>
            </w:pPr>
            <w:r>
              <w:t>157,017</w:t>
            </w:r>
          </w:p>
        </w:tc>
        <w:tc>
          <w:tcPr>
            <w:tcW w:w="1920" w:type="dxa"/>
            <w:tcBorders>
              <w:top w:val="nil"/>
              <w:left w:val="nil"/>
              <w:bottom w:val="single" w:sz="4" w:space="0" w:color="000000"/>
              <w:right w:val="nil"/>
            </w:tcBorders>
            <w:tcMar>
              <w:top w:w="20" w:type="dxa"/>
              <w:left w:w="20" w:type="dxa"/>
              <w:bottom w:w="100" w:type="dxa"/>
              <w:right w:w="20" w:type="dxa"/>
            </w:tcMar>
            <w:vAlign w:val="center"/>
          </w:tcPr>
          <w:p w14:paraId="65B47216" w14:textId="77777777" w:rsidR="005C7D9A" w:rsidRDefault="00000000">
            <w:pPr>
              <w:spacing w:line="240" w:lineRule="auto"/>
              <w:ind w:firstLine="0"/>
              <w:jc w:val="center"/>
            </w:pPr>
            <w:r>
              <w:t>1.54</w:t>
            </w:r>
          </w:p>
        </w:tc>
      </w:tr>
      <w:tr w:rsidR="005C7D9A" w14:paraId="1CC475B8" w14:textId="77777777">
        <w:trPr>
          <w:trHeight w:val="523"/>
        </w:trPr>
        <w:tc>
          <w:tcPr>
            <w:tcW w:w="2460" w:type="dxa"/>
            <w:tcBorders>
              <w:top w:val="nil"/>
              <w:left w:val="nil"/>
              <w:bottom w:val="single" w:sz="8" w:space="0" w:color="000000"/>
              <w:right w:val="single" w:sz="4" w:space="0" w:color="000000"/>
            </w:tcBorders>
            <w:tcMar>
              <w:top w:w="20" w:type="dxa"/>
              <w:left w:w="20" w:type="dxa"/>
              <w:bottom w:w="100" w:type="dxa"/>
              <w:right w:w="20" w:type="dxa"/>
            </w:tcMar>
            <w:vAlign w:val="center"/>
          </w:tcPr>
          <w:p w14:paraId="7700A8CE" w14:textId="77777777" w:rsidR="005C7D9A" w:rsidRDefault="00000000">
            <w:pPr>
              <w:spacing w:line="240" w:lineRule="auto"/>
              <w:ind w:firstLine="0"/>
              <w:jc w:val="left"/>
            </w:pPr>
            <w:r>
              <w:t>Female positions in the boards of firms</w:t>
            </w:r>
          </w:p>
        </w:tc>
        <w:tc>
          <w:tcPr>
            <w:tcW w:w="1635"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6F58E5FD" w14:textId="77777777" w:rsidR="005C7D9A" w:rsidRDefault="00000000">
            <w:pPr>
              <w:spacing w:line="240" w:lineRule="auto"/>
              <w:ind w:firstLine="0"/>
              <w:jc w:val="center"/>
            </w:pPr>
            <w:r>
              <w:t>4,286</w:t>
            </w:r>
          </w:p>
        </w:tc>
        <w:tc>
          <w:tcPr>
            <w:tcW w:w="16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407BFE31" w14:textId="77777777" w:rsidR="005C7D9A" w:rsidRDefault="00000000">
            <w:pPr>
              <w:spacing w:line="240" w:lineRule="auto"/>
              <w:ind w:firstLine="0"/>
              <w:jc w:val="center"/>
            </w:pPr>
            <w:r>
              <w:t>3,154</w:t>
            </w:r>
          </w:p>
        </w:tc>
        <w:tc>
          <w:tcPr>
            <w:tcW w:w="19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6FD36B33" w14:textId="77777777" w:rsidR="005C7D9A" w:rsidRDefault="00000000">
            <w:pPr>
              <w:spacing w:line="240" w:lineRule="auto"/>
              <w:ind w:firstLine="0"/>
              <w:jc w:val="center"/>
            </w:pPr>
            <w:r>
              <w:t>1.73</w:t>
            </w:r>
          </w:p>
        </w:tc>
      </w:tr>
      <w:tr w:rsidR="005C7D9A" w14:paraId="716E5D9E" w14:textId="77777777">
        <w:trPr>
          <w:trHeight w:val="300"/>
        </w:trPr>
        <w:tc>
          <w:tcPr>
            <w:tcW w:w="2460" w:type="dxa"/>
            <w:tcBorders>
              <w:top w:val="nil"/>
              <w:left w:val="nil"/>
              <w:bottom w:val="single" w:sz="8" w:space="0" w:color="000000"/>
              <w:right w:val="single" w:sz="4" w:space="0" w:color="000000"/>
            </w:tcBorders>
            <w:tcMar>
              <w:top w:w="20" w:type="dxa"/>
              <w:left w:w="20" w:type="dxa"/>
              <w:bottom w:w="100" w:type="dxa"/>
              <w:right w:w="20" w:type="dxa"/>
            </w:tcMar>
            <w:vAlign w:val="center"/>
          </w:tcPr>
          <w:p w14:paraId="37E4E6CA" w14:textId="77777777" w:rsidR="005C7D9A" w:rsidRDefault="00000000">
            <w:pPr>
              <w:spacing w:line="240" w:lineRule="auto"/>
              <w:ind w:firstLine="0"/>
              <w:jc w:val="left"/>
            </w:pPr>
            <w:r>
              <w:t xml:space="preserve">Total </w:t>
            </w:r>
          </w:p>
        </w:tc>
        <w:tc>
          <w:tcPr>
            <w:tcW w:w="1635" w:type="dxa"/>
            <w:tcBorders>
              <w:top w:val="nil"/>
              <w:left w:val="nil"/>
              <w:bottom w:val="single" w:sz="8" w:space="0" w:color="000000"/>
              <w:right w:val="nil"/>
            </w:tcBorders>
            <w:tcMar>
              <w:top w:w="20" w:type="dxa"/>
              <w:left w:w="20" w:type="dxa"/>
              <w:bottom w:w="100" w:type="dxa"/>
              <w:right w:w="20" w:type="dxa"/>
            </w:tcMar>
            <w:vAlign w:val="center"/>
          </w:tcPr>
          <w:p w14:paraId="6376B024" w14:textId="77777777" w:rsidR="005C7D9A" w:rsidRDefault="00000000">
            <w:pPr>
              <w:spacing w:line="240" w:lineRule="auto"/>
              <w:ind w:firstLine="0"/>
              <w:jc w:val="center"/>
            </w:pPr>
            <w:r>
              <w:t>169,289</w:t>
            </w:r>
          </w:p>
        </w:tc>
        <w:tc>
          <w:tcPr>
            <w:tcW w:w="1620" w:type="dxa"/>
            <w:tcBorders>
              <w:top w:val="nil"/>
              <w:left w:val="nil"/>
              <w:bottom w:val="single" w:sz="8" w:space="0" w:color="000000"/>
              <w:right w:val="nil"/>
            </w:tcBorders>
            <w:tcMar>
              <w:top w:w="20" w:type="dxa"/>
              <w:left w:w="20" w:type="dxa"/>
              <w:bottom w:w="100" w:type="dxa"/>
              <w:right w:w="20" w:type="dxa"/>
            </w:tcMar>
            <w:vAlign w:val="center"/>
          </w:tcPr>
          <w:p w14:paraId="5B505055" w14:textId="77777777" w:rsidR="005C7D9A" w:rsidRDefault="00000000">
            <w:pPr>
              <w:spacing w:line="240" w:lineRule="auto"/>
              <w:ind w:firstLine="0"/>
              <w:jc w:val="center"/>
            </w:pPr>
            <w:r>
              <w:t>160,171</w:t>
            </w:r>
          </w:p>
        </w:tc>
        <w:tc>
          <w:tcPr>
            <w:tcW w:w="1920" w:type="dxa"/>
            <w:tcBorders>
              <w:top w:val="single" w:sz="4" w:space="0" w:color="000000"/>
              <w:left w:val="nil"/>
              <w:bottom w:val="single" w:sz="8" w:space="0" w:color="000000"/>
              <w:right w:val="nil"/>
            </w:tcBorders>
            <w:tcMar>
              <w:top w:w="20" w:type="dxa"/>
              <w:left w:w="20" w:type="dxa"/>
              <w:bottom w:w="100" w:type="dxa"/>
              <w:right w:w="20" w:type="dxa"/>
            </w:tcMar>
            <w:vAlign w:val="center"/>
          </w:tcPr>
          <w:p w14:paraId="3326C55D" w14:textId="77777777" w:rsidR="005C7D9A" w:rsidRDefault="00000000">
            <w:pPr>
              <w:spacing w:line="240" w:lineRule="auto"/>
              <w:ind w:firstLine="0"/>
              <w:jc w:val="center"/>
            </w:pPr>
            <w:r>
              <w:t>1.54</w:t>
            </w:r>
          </w:p>
        </w:tc>
      </w:tr>
    </w:tbl>
    <w:p w14:paraId="320A78A0" w14:textId="77777777" w:rsidR="005C7D9A" w:rsidRDefault="005C7D9A">
      <w:pPr>
        <w:spacing w:line="360" w:lineRule="auto"/>
        <w:jc w:val="center"/>
        <w:rPr>
          <w:sz w:val="24"/>
          <w:szCs w:val="24"/>
        </w:rPr>
      </w:pPr>
    </w:p>
    <w:p w14:paraId="56C26046" w14:textId="77777777" w:rsidR="005C7D9A" w:rsidRDefault="00000000">
      <w:pPr>
        <w:spacing w:line="240" w:lineRule="auto"/>
        <w:rPr>
          <w:sz w:val="24"/>
          <w:szCs w:val="24"/>
        </w:rPr>
      </w:pPr>
      <w:r>
        <w:rPr>
          <w:sz w:val="24"/>
          <w:szCs w:val="24"/>
        </w:rPr>
        <w:t xml:space="preserve">To assess changes in public perception over time between male and female terms, we will analyze the percentage of positive and negative tweets from a historical perspective. As illustrated in Graph 3, the percentage of negative tweets about </w:t>
      </w:r>
      <w:proofErr w:type="spellStart"/>
      <w:r>
        <w:rPr>
          <w:i/>
          <w:sz w:val="24"/>
          <w:szCs w:val="24"/>
        </w:rPr>
        <w:t>imprenditore</w:t>
      </w:r>
      <w:proofErr w:type="spellEnd"/>
      <w:r>
        <w:rPr>
          <w:sz w:val="24"/>
          <w:szCs w:val="24"/>
        </w:rPr>
        <w:t xml:space="preserve"> is consistently higher than the percentage of positive tweets from 2007 to 2022. There were no tweets in 2006. The trend in the percentage of negative tweets remained relatively constant over the years until 2016 when they began to increase from 70% to 81% in 2022.</w:t>
      </w:r>
    </w:p>
    <w:p w14:paraId="79F44893" w14:textId="77777777" w:rsidR="005C7D9A" w:rsidRDefault="005C7D9A">
      <w:pPr>
        <w:spacing w:line="360" w:lineRule="auto"/>
        <w:jc w:val="center"/>
      </w:pPr>
    </w:p>
    <w:p w14:paraId="2B9125DE" w14:textId="77777777" w:rsidR="005C7D9A" w:rsidRDefault="00000000">
      <w:pPr>
        <w:spacing w:after="200" w:line="360" w:lineRule="auto"/>
        <w:ind w:firstLine="0"/>
        <w:jc w:val="center"/>
        <w:rPr>
          <w:b/>
        </w:rPr>
      </w:pPr>
      <w:r>
        <w:rPr>
          <w:i/>
          <w:color w:val="44546A"/>
        </w:rPr>
        <w:lastRenderedPageBreak/>
        <w:t xml:space="preserve">Graph 3. Percentage of positive and negative tweets on </w:t>
      </w:r>
      <w:proofErr w:type="spellStart"/>
      <w:r>
        <w:rPr>
          <w:i/>
          <w:color w:val="44546A"/>
        </w:rPr>
        <w:t>Imprenditore</w:t>
      </w:r>
      <w:proofErr w:type="spellEnd"/>
      <w:r>
        <w:rPr>
          <w:i/>
          <w:color w:val="44546A"/>
        </w:rPr>
        <w:t xml:space="preserve"> between 2007 and 2022.</w:t>
      </w:r>
      <w:r>
        <w:rPr>
          <w:noProof/>
        </w:rPr>
        <w:drawing>
          <wp:anchor distT="114300" distB="114300" distL="114300" distR="114300" simplePos="0" relativeHeight="251658240" behindDoc="0" locked="0" layoutInCell="1" hidden="0" allowOverlap="1" wp14:anchorId="7D5F955C" wp14:editId="56F1E6BA">
            <wp:simplePos x="0" y="0"/>
            <wp:positionH relativeFrom="column">
              <wp:posOffset>571500</wp:posOffset>
            </wp:positionH>
            <wp:positionV relativeFrom="paragraph">
              <wp:posOffset>114300</wp:posOffset>
            </wp:positionV>
            <wp:extent cx="4414838" cy="2876471"/>
            <wp:effectExtent l="0" t="0" r="0" b="0"/>
            <wp:wrapTopAndBottom distT="114300" distB="11430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4414838" cy="2876471"/>
                    </a:xfrm>
                    <a:prstGeom prst="rect">
                      <a:avLst/>
                    </a:prstGeom>
                    <a:ln/>
                  </pic:spPr>
                </pic:pic>
              </a:graphicData>
            </a:graphic>
          </wp:anchor>
        </w:drawing>
      </w:r>
    </w:p>
    <w:p w14:paraId="7A666FDD" w14:textId="77777777" w:rsidR="005C7D9A" w:rsidRDefault="00000000">
      <w:pPr>
        <w:spacing w:line="240" w:lineRule="auto"/>
        <w:rPr>
          <w:sz w:val="24"/>
          <w:szCs w:val="24"/>
        </w:rPr>
      </w:pPr>
      <w:r>
        <w:rPr>
          <w:sz w:val="24"/>
          <w:szCs w:val="24"/>
        </w:rPr>
        <w:t>In the case of female entrepreneurs (Graph 4), the difference between positive and negative tweets from 2007 to 2022 is less pronounced. Again, there were no tweets in 2006. From 2017, where negative tweets accounted for 45%, we can see an upward trend in positive tweets, reaching 39% in 2022.</w:t>
      </w:r>
      <w:r>
        <w:rPr>
          <w:noProof/>
        </w:rPr>
        <w:drawing>
          <wp:anchor distT="114300" distB="114300" distL="114300" distR="114300" simplePos="0" relativeHeight="251659264" behindDoc="0" locked="0" layoutInCell="1" hidden="0" allowOverlap="1" wp14:anchorId="192D5499" wp14:editId="7B13420D">
            <wp:simplePos x="0" y="0"/>
            <wp:positionH relativeFrom="column">
              <wp:posOffset>529590</wp:posOffset>
            </wp:positionH>
            <wp:positionV relativeFrom="paragraph">
              <wp:posOffset>853617</wp:posOffset>
            </wp:positionV>
            <wp:extent cx="4529955" cy="2799212"/>
            <wp:effectExtent l="0" t="0" r="0" b="0"/>
            <wp:wrapTopAndBottom distT="114300" distB="1143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4529955" cy="2799212"/>
                    </a:xfrm>
                    <a:prstGeom prst="rect">
                      <a:avLst/>
                    </a:prstGeom>
                    <a:ln/>
                  </pic:spPr>
                </pic:pic>
              </a:graphicData>
            </a:graphic>
          </wp:anchor>
        </w:drawing>
      </w:r>
    </w:p>
    <w:p w14:paraId="46DE76A8" w14:textId="77777777" w:rsidR="005C7D9A" w:rsidRDefault="00000000">
      <w:pPr>
        <w:spacing w:after="200" w:line="360" w:lineRule="auto"/>
        <w:ind w:firstLine="0"/>
        <w:jc w:val="center"/>
        <w:rPr>
          <w:b/>
        </w:rPr>
      </w:pPr>
      <w:r>
        <w:rPr>
          <w:i/>
          <w:color w:val="44546A"/>
        </w:rPr>
        <w:t xml:space="preserve">Graph 4. Percentage of positive and negative tweets on </w:t>
      </w:r>
      <w:proofErr w:type="spellStart"/>
      <w:r>
        <w:rPr>
          <w:i/>
          <w:color w:val="44546A"/>
        </w:rPr>
        <w:t>Imprenditrice</w:t>
      </w:r>
      <w:proofErr w:type="spellEnd"/>
      <w:r>
        <w:rPr>
          <w:i/>
          <w:color w:val="44546A"/>
        </w:rPr>
        <w:t xml:space="preserve"> between 2007 and 2022.</w:t>
      </w:r>
    </w:p>
    <w:p w14:paraId="5F7AF128" w14:textId="77777777" w:rsidR="005C7D9A" w:rsidRDefault="00000000">
      <w:pPr>
        <w:spacing w:line="240" w:lineRule="auto"/>
        <w:rPr>
          <w:sz w:val="24"/>
          <w:szCs w:val="24"/>
        </w:rPr>
      </w:pPr>
      <w:r>
        <w:rPr>
          <w:sz w:val="24"/>
          <w:szCs w:val="24"/>
        </w:rPr>
        <w:t>For the second category of posts related to positions on the boards of firms (Graph 5), the male cluster shows a rise in positive tweets from 2007 (when those keywords were first used) to 2016, going from 33% to 56%. However, from 2016 to 2022, this trend reversed, and the percentage of positive tweets dropped to 48%.</w:t>
      </w:r>
    </w:p>
    <w:p w14:paraId="0A827B7A" w14:textId="77777777" w:rsidR="005C7D9A" w:rsidRDefault="005C7D9A">
      <w:pPr>
        <w:spacing w:line="360" w:lineRule="auto"/>
      </w:pPr>
    </w:p>
    <w:p w14:paraId="4AC7B908" w14:textId="77777777" w:rsidR="005C7D9A" w:rsidRDefault="005C7D9A">
      <w:pPr>
        <w:spacing w:line="360" w:lineRule="auto"/>
        <w:rPr>
          <w:sz w:val="24"/>
          <w:szCs w:val="24"/>
        </w:rPr>
      </w:pPr>
    </w:p>
    <w:p w14:paraId="6B124D35" w14:textId="77777777" w:rsidR="005C7D9A" w:rsidRDefault="00000000">
      <w:pPr>
        <w:spacing w:after="200" w:line="360" w:lineRule="auto"/>
        <w:ind w:firstLine="0"/>
        <w:rPr>
          <w:i/>
          <w:color w:val="44546A"/>
        </w:rPr>
      </w:pPr>
      <w:r>
        <w:rPr>
          <w:i/>
          <w:color w:val="44546A"/>
        </w:rPr>
        <w:t>Graph 5. Percentage of positive and negative tweets male positions in the boards of firms between 2007 and 2022.</w:t>
      </w:r>
      <w:r>
        <w:rPr>
          <w:noProof/>
        </w:rPr>
        <w:drawing>
          <wp:anchor distT="114300" distB="114300" distL="114300" distR="114300" simplePos="0" relativeHeight="251660288" behindDoc="0" locked="0" layoutInCell="1" hidden="0" allowOverlap="1" wp14:anchorId="2CD9F013" wp14:editId="3FDBCC6A">
            <wp:simplePos x="0" y="0"/>
            <wp:positionH relativeFrom="column">
              <wp:posOffset>571500</wp:posOffset>
            </wp:positionH>
            <wp:positionV relativeFrom="paragraph">
              <wp:posOffset>114300</wp:posOffset>
            </wp:positionV>
            <wp:extent cx="4318227" cy="2671763"/>
            <wp:effectExtent l="0" t="0" r="0" b="0"/>
            <wp:wrapTopAndBottom distT="114300" distB="114300"/>
            <wp:docPr id="1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1"/>
                    <a:srcRect/>
                    <a:stretch>
                      <a:fillRect/>
                    </a:stretch>
                  </pic:blipFill>
                  <pic:spPr>
                    <a:xfrm>
                      <a:off x="0" y="0"/>
                      <a:ext cx="4318227" cy="2671763"/>
                    </a:xfrm>
                    <a:prstGeom prst="rect">
                      <a:avLst/>
                    </a:prstGeom>
                    <a:ln/>
                  </pic:spPr>
                </pic:pic>
              </a:graphicData>
            </a:graphic>
          </wp:anchor>
        </w:drawing>
      </w:r>
    </w:p>
    <w:p w14:paraId="3828DA46" w14:textId="77777777" w:rsidR="005C7D9A" w:rsidRDefault="00000000">
      <w:pPr>
        <w:spacing w:line="240" w:lineRule="auto"/>
        <w:rPr>
          <w:sz w:val="24"/>
          <w:szCs w:val="24"/>
        </w:rPr>
      </w:pPr>
      <w:r>
        <w:rPr>
          <w:sz w:val="24"/>
          <w:szCs w:val="24"/>
        </w:rPr>
        <w:t>For the female cluster related to positions on the boards of firms (Graph 6), the trend is variable, with high points of positive tweets in 2013, 2014 and 2015, reaching 62%, 64% and 70% respectively. However, from 2017 to 2022, the trend has been relatively stable.</w:t>
      </w:r>
    </w:p>
    <w:p w14:paraId="124A7830" w14:textId="77777777" w:rsidR="005C7D9A" w:rsidRDefault="005C7D9A">
      <w:pPr>
        <w:spacing w:line="360" w:lineRule="auto"/>
      </w:pPr>
    </w:p>
    <w:p w14:paraId="4DF18B39" w14:textId="77777777" w:rsidR="005C7D9A" w:rsidRDefault="00000000">
      <w:pPr>
        <w:spacing w:line="360" w:lineRule="auto"/>
        <w:rPr>
          <w:b/>
        </w:rPr>
      </w:pPr>
      <w:r>
        <w:rPr>
          <w:b/>
          <w:noProof/>
        </w:rPr>
        <w:drawing>
          <wp:inline distT="114300" distB="114300" distL="114300" distR="114300" wp14:anchorId="6E3DCB3B" wp14:editId="53AA96A3">
            <wp:extent cx="4359346" cy="2649649"/>
            <wp:effectExtent l="0" t="0" r="0" b="0"/>
            <wp:docPr id="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4359346" cy="2649649"/>
                    </a:xfrm>
                    <a:prstGeom prst="rect">
                      <a:avLst/>
                    </a:prstGeom>
                    <a:ln/>
                  </pic:spPr>
                </pic:pic>
              </a:graphicData>
            </a:graphic>
          </wp:inline>
        </w:drawing>
      </w:r>
    </w:p>
    <w:p w14:paraId="4676F5FA" w14:textId="77777777" w:rsidR="005C7D9A" w:rsidRDefault="00000000">
      <w:pPr>
        <w:spacing w:after="200" w:line="360" w:lineRule="auto"/>
        <w:ind w:firstLine="0"/>
        <w:jc w:val="center"/>
        <w:rPr>
          <w:b/>
        </w:rPr>
      </w:pPr>
      <w:r>
        <w:rPr>
          <w:i/>
          <w:color w:val="44546A"/>
        </w:rPr>
        <w:t>Graph 6. Percentage of positive and negative tweets on female positions on the boards of firms between 2007 and 2022.</w:t>
      </w:r>
    </w:p>
    <w:p w14:paraId="5CC763B7" w14:textId="77777777" w:rsidR="005C7D9A" w:rsidRDefault="00000000">
      <w:pPr>
        <w:pStyle w:val="Titolo1"/>
        <w:spacing w:line="360" w:lineRule="auto"/>
        <w:ind w:firstLine="0"/>
        <w:rPr>
          <w:b/>
          <w:sz w:val="24"/>
          <w:szCs w:val="24"/>
        </w:rPr>
      </w:pPr>
      <w:bookmarkStart w:id="2" w:name="_heading=h.1fob9te" w:colFirst="0" w:colLast="0"/>
      <w:bookmarkEnd w:id="2"/>
      <w:r>
        <w:rPr>
          <w:b/>
          <w:sz w:val="24"/>
          <w:szCs w:val="24"/>
        </w:rPr>
        <w:t>7.</w:t>
      </w:r>
      <w:r>
        <w:rPr>
          <w:b/>
          <w:sz w:val="24"/>
          <w:szCs w:val="24"/>
        </w:rPr>
        <w:tab/>
        <w:t>Discussion and conclusion</w:t>
      </w:r>
    </w:p>
    <w:p w14:paraId="684952E6" w14:textId="77777777" w:rsidR="005C7D9A" w:rsidRDefault="00000000">
      <w:pPr>
        <w:spacing w:line="240" w:lineRule="auto"/>
        <w:rPr>
          <w:sz w:val="24"/>
          <w:szCs w:val="24"/>
        </w:rPr>
      </w:pPr>
      <w:r>
        <w:rPr>
          <w:sz w:val="24"/>
          <w:szCs w:val="24"/>
        </w:rPr>
        <w:t xml:space="preserve">Given the ability of language, shown by a good deal of empirical literature, to reinforce or, on the contrary, challenge stereotypes, the use of feminine titles for women’s top echelon </w:t>
      </w:r>
      <w:r>
        <w:rPr>
          <w:sz w:val="24"/>
          <w:szCs w:val="24"/>
        </w:rPr>
        <w:lastRenderedPageBreak/>
        <w:t xml:space="preserve">positions can promote female presence in such roles. This is especially important given that firms with gender-balanced boards fare better in various aspects. Moreover, feminine job titles align with the general </w:t>
      </w:r>
      <w:proofErr w:type="spellStart"/>
      <w:r>
        <w:rPr>
          <w:sz w:val="24"/>
          <w:szCs w:val="24"/>
        </w:rPr>
        <w:t>behaviour</w:t>
      </w:r>
      <w:proofErr w:type="spellEnd"/>
      <w:r>
        <w:rPr>
          <w:sz w:val="24"/>
          <w:szCs w:val="24"/>
        </w:rPr>
        <w:t xml:space="preserve"> of Italian personal nouns and are symmetric with respect to the masculine titles used for men. For these reasons, they have been recommended by several private and public bodies. Nonetheless, as </w:t>
      </w:r>
      <w:proofErr w:type="spellStart"/>
      <w:r>
        <w:rPr>
          <w:sz w:val="24"/>
          <w:szCs w:val="24"/>
        </w:rPr>
        <w:t>Cignarella</w:t>
      </w:r>
      <w:proofErr w:type="spellEnd"/>
      <w:r>
        <w:rPr>
          <w:sz w:val="24"/>
          <w:szCs w:val="24"/>
        </w:rPr>
        <w:t xml:space="preserve"> et al. 2021 showed, they are not proportionate to the presence of women in specific fields. Our study highlights an analogous tendency with respect to top echelon positions. </w:t>
      </w:r>
    </w:p>
    <w:p w14:paraId="5FFE1F37" w14:textId="77777777" w:rsidR="005C7D9A" w:rsidRDefault="00000000">
      <w:pPr>
        <w:spacing w:line="240" w:lineRule="auto"/>
        <w:rPr>
          <w:sz w:val="24"/>
          <w:szCs w:val="24"/>
        </w:rPr>
      </w:pPr>
      <w:r>
        <w:rPr>
          <w:sz w:val="24"/>
          <w:szCs w:val="24"/>
        </w:rPr>
        <w:t xml:space="preserve">The results show a predominant use of the masculine form over the feminine one for all analyzed terms. However, we report an increase over time in the percentage of tweets referring to the female form compared to the total use of the term for both genders. This trend, although not always marked, is confirmed for the terms </w:t>
      </w:r>
      <w:proofErr w:type="spellStart"/>
      <w:r>
        <w:rPr>
          <w:i/>
          <w:sz w:val="24"/>
          <w:szCs w:val="24"/>
        </w:rPr>
        <w:t>amministratore</w:t>
      </w:r>
      <w:proofErr w:type="spellEnd"/>
      <w:r>
        <w:rPr>
          <w:i/>
          <w:sz w:val="24"/>
          <w:szCs w:val="24"/>
        </w:rPr>
        <w:t xml:space="preserve">, </w:t>
      </w:r>
      <w:proofErr w:type="spellStart"/>
      <w:r>
        <w:rPr>
          <w:i/>
          <w:sz w:val="24"/>
          <w:szCs w:val="24"/>
        </w:rPr>
        <w:t>direttore</w:t>
      </w:r>
      <w:proofErr w:type="spellEnd"/>
      <w:r>
        <w:rPr>
          <w:i/>
          <w:sz w:val="24"/>
          <w:szCs w:val="24"/>
        </w:rPr>
        <w:t xml:space="preserve">, </w:t>
      </w:r>
      <w:r>
        <w:rPr>
          <w:sz w:val="24"/>
          <w:szCs w:val="24"/>
        </w:rPr>
        <w:t>and</w:t>
      </w:r>
      <w:r>
        <w:rPr>
          <w:i/>
          <w:sz w:val="24"/>
          <w:szCs w:val="24"/>
        </w:rPr>
        <w:t xml:space="preserve"> </w:t>
      </w:r>
      <w:proofErr w:type="spellStart"/>
      <w:r>
        <w:rPr>
          <w:i/>
          <w:sz w:val="24"/>
          <w:szCs w:val="24"/>
        </w:rPr>
        <w:t>imprenditore</w:t>
      </w:r>
      <w:proofErr w:type="spellEnd"/>
      <w:r>
        <w:rPr>
          <w:sz w:val="24"/>
          <w:szCs w:val="24"/>
        </w:rPr>
        <w:t xml:space="preserve">; in contrast, the use of the female form </w:t>
      </w:r>
      <w:r>
        <w:rPr>
          <w:i/>
          <w:sz w:val="24"/>
          <w:szCs w:val="24"/>
        </w:rPr>
        <w:t xml:space="preserve">la CEO </w:t>
      </w:r>
      <w:r>
        <w:rPr>
          <w:sz w:val="24"/>
          <w:szCs w:val="24"/>
        </w:rPr>
        <w:t xml:space="preserve">does not reflect a real increase over the male form, but rather we note a very discontinuous use of the term over time. The positive comparative advantage index is lower for the category of tweets related to entrepreneurs than for the category of positions on the boards of firms. Tweets related to female figures have a higher index signifying a higher positive attitude in both categories. In the first category of entrepreneurs, the difference between </w:t>
      </w:r>
      <w:proofErr w:type="spellStart"/>
      <w:r>
        <w:rPr>
          <w:i/>
          <w:sz w:val="24"/>
          <w:szCs w:val="24"/>
        </w:rPr>
        <w:t>imprenditore</w:t>
      </w:r>
      <w:proofErr w:type="spellEnd"/>
      <w:r>
        <w:rPr>
          <w:sz w:val="24"/>
          <w:szCs w:val="24"/>
        </w:rPr>
        <w:t xml:space="preserve"> and </w:t>
      </w:r>
      <w:proofErr w:type="spellStart"/>
      <w:r>
        <w:rPr>
          <w:i/>
          <w:sz w:val="24"/>
          <w:szCs w:val="24"/>
        </w:rPr>
        <w:t>imprenditrice</w:t>
      </w:r>
      <w:proofErr w:type="spellEnd"/>
      <w:r>
        <w:rPr>
          <w:sz w:val="24"/>
          <w:szCs w:val="24"/>
        </w:rPr>
        <w:t xml:space="preserve"> is considerable. </w:t>
      </w:r>
      <w:r>
        <w:rPr>
          <w:sz w:val="24"/>
          <w:szCs w:val="24"/>
          <w:highlight w:val="white"/>
        </w:rPr>
        <w:t xml:space="preserve">Negative news tends to generate more attention in the business sector. As more male entrepreneurs are present in the industry, there is a higher likelihood that negative news and comments about their performance will be reported. This can be partly explained by the male figure's tendency to take greater risks in the business environment. Additionally, the greater </w:t>
      </w:r>
      <w:proofErr w:type="gramStart"/>
      <w:r>
        <w:rPr>
          <w:sz w:val="24"/>
          <w:szCs w:val="24"/>
          <w:highlight w:val="white"/>
        </w:rPr>
        <w:t>amount</w:t>
      </w:r>
      <w:proofErr w:type="gramEnd"/>
      <w:r>
        <w:rPr>
          <w:sz w:val="24"/>
          <w:szCs w:val="24"/>
          <w:highlight w:val="white"/>
        </w:rPr>
        <w:t xml:space="preserve"> of negative tweets in the category of entrepreneurs may be attributed to the fact that, in the case of </w:t>
      </w:r>
      <w:proofErr w:type="spellStart"/>
      <w:r>
        <w:rPr>
          <w:i/>
          <w:sz w:val="24"/>
          <w:szCs w:val="24"/>
          <w:highlight w:val="white"/>
        </w:rPr>
        <w:t>imprenditore</w:t>
      </w:r>
      <w:proofErr w:type="spellEnd"/>
      <w:r>
        <w:rPr>
          <w:sz w:val="24"/>
          <w:szCs w:val="24"/>
          <w:highlight w:val="white"/>
        </w:rPr>
        <w:t xml:space="preserve"> and </w:t>
      </w:r>
      <w:proofErr w:type="spellStart"/>
      <w:r>
        <w:rPr>
          <w:i/>
          <w:sz w:val="24"/>
          <w:szCs w:val="24"/>
          <w:highlight w:val="white"/>
        </w:rPr>
        <w:t>imprenditrice</w:t>
      </w:r>
      <w:proofErr w:type="spellEnd"/>
      <w:r>
        <w:rPr>
          <w:sz w:val="24"/>
          <w:szCs w:val="24"/>
          <w:highlight w:val="white"/>
        </w:rPr>
        <w:t xml:space="preserve">, these figures are closely associated with the individual person, whereas in the case of corporate offices, the focus is more on the company as a whole, rather than on individual leaders. As a result, it is easier to express personal opinions and preferences, even negative ones, when referring to the physical person holding the position. </w:t>
      </w:r>
      <w:r>
        <w:rPr>
          <w:sz w:val="24"/>
          <w:szCs w:val="24"/>
        </w:rPr>
        <w:t xml:space="preserve">Focusing on the time trend, negative tweets about male entrepreneurs, female entrepreneurs and male positions on the boards of firms have increased in recent years, while positive tweets about female positions on the boards of firms have increased. This achievement is thanks to increased awareness regarding gender equality issues in positions on the boards of firms. </w:t>
      </w:r>
    </w:p>
    <w:p w14:paraId="33005CC5" w14:textId="77777777" w:rsidR="005C7D9A" w:rsidRDefault="00000000">
      <w:pPr>
        <w:spacing w:line="240" w:lineRule="auto"/>
        <w:rPr>
          <w:sz w:val="24"/>
          <w:szCs w:val="24"/>
        </w:rPr>
      </w:pPr>
      <w:r>
        <w:rPr>
          <w:sz w:val="24"/>
          <w:szCs w:val="24"/>
        </w:rPr>
        <w:t xml:space="preserve">A possible future development could include a system capable of assessing, in addition to traditional sentiment analysis, the motivations that cause a user to judge positively or negatively the professional figures being studied. Particularly if the evaluation is driven </w:t>
      </w:r>
      <w:proofErr w:type="gramStart"/>
      <w:r>
        <w:rPr>
          <w:sz w:val="24"/>
          <w:szCs w:val="24"/>
        </w:rPr>
        <w:t>by the use of</w:t>
      </w:r>
      <w:proofErr w:type="gramEnd"/>
      <w:r>
        <w:rPr>
          <w:sz w:val="24"/>
          <w:szCs w:val="24"/>
        </w:rPr>
        <w:t xml:space="preserve"> language to identify gender, or if more simply the evaluation is about the performance of the professional figure in the work environment.</w:t>
      </w:r>
    </w:p>
    <w:p w14:paraId="2FF3B89A" w14:textId="77777777" w:rsidR="005C7D9A" w:rsidRDefault="00000000">
      <w:pPr>
        <w:spacing w:line="240" w:lineRule="auto"/>
        <w:rPr>
          <w:sz w:val="24"/>
          <w:szCs w:val="24"/>
        </w:rPr>
      </w:pPr>
      <w:r>
        <w:rPr>
          <w:sz w:val="24"/>
          <w:szCs w:val="24"/>
        </w:rPr>
        <w:t>To increase the data sample, we could download the tweets made by the newspapers with the selected keywords, being that in number will be limited we could provide manual cleaning.</w:t>
      </w:r>
    </w:p>
    <w:p w14:paraId="33FDA6EA" w14:textId="77777777" w:rsidR="005C7D9A" w:rsidRDefault="005C7D9A">
      <w:pPr>
        <w:spacing w:line="360" w:lineRule="auto"/>
        <w:rPr>
          <w:sz w:val="24"/>
          <w:szCs w:val="24"/>
        </w:rPr>
      </w:pPr>
    </w:p>
    <w:p w14:paraId="24F936FA" w14:textId="77777777" w:rsidR="005C7D9A" w:rsidRDefault="005C7D9A">
      <w:pPr>
        <w:spacing w:line="360" w:lineRule="auto"/>
        <w:rPr>
          <w:b/>
          <w:sz w:val="24"/>
          <w:szCs w:val="24"/>
        </w:rPr>
      </w:pPr>
    </w:p>
    <w:p w14:paraId="07BED1BE" w14:textId="77777777" w:rsidR="005C7D9A" w:rsidRDefault="005C7D9A">
      <w:pPr>
        <w:spacing w:line="360" w:lineRule="auto"/>
        <w:rPr>
          <w:b/>
          <w:sz w:val="24"/>
          <w:szCs w:val="24"/>
        </w:rPr>
      </w:pPr>
    </w:p>
    <w:p w14:paraId="3E810CFD" w14:textId="77777777" w:rsidR="005C7D9A" w:rsidRPr="000607AC" w:rsidRDefault="00000000">
      <w:pPr>
        <w:spacing w:line="360" w:lineRule="auto"/>
        <w:ind w:firstLine="0"/>
        <w:rPr>
          <w:b/>
          <w:sz w:val="24"/>
          <w:szCs w:val="24"/>
          <w:lang w:val="it-IT"/>
        </w:rPr>
      </w:pPr>
      <w:r w:rsidRPr="000607AC">
        <w:rPr>
          <w:b/>
          <w:sz w:val="24"/>
          <w:szCs w:val="24"/>
          <w:lang w:val="it-IT"/>
        </w:rPr>
        <w:t>References</w:t>
      </w:r>
    </w:p>
    <w:p w14:paraId="77DC0AC4" w14:textId="77777777" w:rsidR="005C7D9A" w:rsidRPr="000607AC" w:rsidRDefault="005C7D9A">
      <w:pPr>
        <w:spacing w:line="360" w:lineRule="auto"/>
        <w:rPr>
          <w:sz w:val="18"/>
          <w:szCs w:val="18"/>
          <w:lang w:val="it-IT"/>
        </w:rPr>
      </w:pPr>
    </w:p>
    <w:p w14:paraId="4F95FEA2"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ACCADEMIA DELLA CRUSCA (2002), “Accademia della Crusca e la questione del genere nella lingua”.</w:t>
      </w:r>
    </w:p>
    <w:p w14:paraId="48566963"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lastRenderedPageBreak/>
        <w:t xml:space="preserve">AGENZIA DELLE ENTRATE (2020), </w:t>
      </w:r>
      <w:r w:rsidRPr="000607AC">
        <w:rPr>
          <w:i/>
          <w:color w:val="000000"/>
          <w:lang w:val="it-IT"/>
        </w:rPr>
        <w:t>Linee guida per l’uso di un linguaggio rispettoso delle differenze di genere</w:t>
      </w:r>
      <w:r w:rsidRPr="000607AC">
        <w:rPr>
          <w:color w:val="000000"/>
          <w:lang w:val="it-IT"/>
        </w:rPr>
        <w:t>.</w:t>
      </w:r>
    </w:p>
    <w:p w14:paraId="3615E15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ALESINA A., CARLANA M., FERRARA E.L., PINOTTI P. (2018), </w:t>
      </w:r>
      <w:r>
        <w:rPr>
          <w:i/>
          <w:color w:val="000000"/>
        </w:rPr>
        <w:t>Revealing Stereotypes: Evidence from Immigrants in Schools</w:t>
      </w:r>
      <w:r>
        <w:rPr>
          <w:color w:val="000000"/>
        </w:rPr>
        <w:t>, National Bureau of Economic Research, Cambridge, MA, No. w25333.</w:t>
      </w:r>
    </w:p>
    <w:p w14:paraId="0071BEEA"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BAXTER J. (2010), </w:t>
      </w:r>
      <w:r>
        <w:rPr>
          <w:i/>
          <w:color w:val="000000"/>
        </w:rPr>
        <w:t>The language of female leadership</w:t>
      </w:r>
      <w:r>
        <w:rPr>
          <w:color w:val="000000"/>
        </w:rPr>
        <w:t>, Palgrave Macmillan, Basingstoke.</w:t>
      </w:r>
    </w:p>
    <w:p w14:paraId="26B5CC5C"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BELLE D., TARTARILLA A.B., WAPMAN M., SCHLIEBER M., MERCURIO A.E. (2021), ““I Can’t Operate, that Boy Is my </w:t>
      </w:r>
      <w:proofErr w:type="gramStart"/>
      <w:r>
        <w:rPr>
          <w:color w:val="000000"/>
        </w:rPr>
        <w:t>Son</w:t>
      </w:r>
      <w:proofErr w:type="gramEnd"/>
      <w:r>
        <w:rPr>
          <w:color w:val="000000"/>
        </w:rPr>
        <w:t xml:space="preserve">!”: Gender Schemas and a Classic Riddle”, </w:t>
      </w:r>
      <w:r>
        <w:rPr>
          <w:i/>
          <w:color w:val="000000"/>
        </w:rPr>
        <w:t>Sex Roles</w:t>
      </w:r>
      <w:r>
        <w:rPr>
          <w:color w:val="000000"/>
        </w:rPr>
        <w:t>, vol. 85, n. 3–4, pp. 161–171.</w:t>
      </w:r>
    </w:p>
    <w:p w14:paraId="276DA57D"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BELLODI E., BERTAGNON A., GAVANELLI M. (2022), “Comparing emotion and sentiment analysis tools on </w:t>
      </w:r>
      <w:proofErr w:type="spellStart"/>
      <w:r>
        <w:rPr>
          <w:color w:val="000000"/>
        </w:rPr>
        <w:t>italian</w:t>
      </w:r>
      <w:proofErr w:type="spellEnd"/>
      <w:r>
        <w:rPr>
          <w:color w:val="000000"/>
        </w:rPr>
        <w:t xml:space="preserve"> anti-vaccination for covid-19 posts”, </w:t>
      </w:r>
      <w:r>
        <w:rPr>
          <w:i/>
          <w:color w:val="000000"/>
        </w:rPr>
        <w:t xml:space="preserve">Proceedings of the Sixth Workshop on Natural Language for Artificial Intelligence (NL4AI 2022) co-located with </w:t>
      </w:r>
      <w:proofErr w:type="gramStart"/>
      <w:r>
        <w:rPr>
          <w:i/>
          <w:color w:val="000000"/>
        </w:rPr>
        <w:t>21th</w:t>
      </w:r>
      <w:proofErr w:type="gramEnd"/>
      <w:r>
        <w:rPr>
          <w:i/>
          <w:color w:val="000000"/>
        </w:rPr>
        <w:t xml:space="preserve"> International Conference of the Italian Association for Artificial Intelligence (AI* IA 2022)</w:t>
      </w:r>
      <w:r>
        <w:rPr>
          <w:color w:val="000000"/>
        </w:rPr>
        <w:t>.</w:t>
      </w:r>
    </w:p>
    <w:p w14:paraId="3472770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BOHREN J.A., IMAS A., ROSENBERG M. (2019), “The Dynamics of Discrimination: Theory and Evidence”, </w:t>
      </w:r>
      <w:r>
        <w:rPr>
          <w:i/>
          <w:color w:val="000000"/>
        </w:rPr>
        <w:t>American Economic Review</w:t>
      </w:r>
      <w:r>
        <w:rPr>
          <w:color w:val="000000"/>
        </w:rPr>
        <w:t>, vol. 109, n. 10, pp. 3395–3436.</w:t>
      </w:r>
    </w:p>
    <w:p w14:paraId="264C213E"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BORDALO P., COFFMAN K., GENNAIOLI N., SHLEIFER A. (2016), “Stereotypes*”, </w:t>
      </w:r>
      <w:r>
        <w:rPr>
          <w:i/>
          <w:color w:val="000000"/>
        </w:rPr>
        <w:t>The Quarterly Journal of Economics</w:t>
      </w:r>
      <w:r>
        <w:rPr>
          <w:color w:val="000000"/>
        </w:rPr>
        <w:t>, vol. 131, n. 4, pp. 1753–1794.</w:t>
      </w:r>
    </w:p>
    <w:p w14:paraId="51A40860"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CARLANA M. (2019), “Implicit Stereotypes: Evidence from Teachers’ Gender Bias*”, </w:t>
      </w:r>
      <w:r>
        <w:rPr>
          <w:i/>
          <w:color w:val="000000"/>
        </w:rPr>
        <w:t>The Quarterly Journal of Economics</w:t>
      </w:r>
      <w:r>
        <w:rPr>
          <w:color w:val="000000"/>
        </w:rPr>
        <w:t>, vol. 134, n. 3, pp. 1163–1224.</w:t>
      </w:r>
    </w:p>
    <w:p w14:paraId="1CE21997"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CIGNARELLA A.T., LAI M., MARRA A., SANGUINETTI M. (2021), “"La </w:t>
      </w:r>
      <w:proofErr w:type="spellStart"/>
      <w:r>
        <w:rPr>
          <w:color w:val="000000"/>
        </w:rPr>
        <w:t>ministro</w:t>
      </w:r>
      <w:proofErr w:type="spellEnd"/>
      <w:r>
        <w:rPr>
          <w:color w:val="000000"/>
        </w:rPr>
        <w:t xml:space="preserve"> è </w:t>
      </w:r>
      <w:proofErr w:type="spellStart"/>
      <w:r>
        <w:rPr>
          <w:color w:val="000000"/>
        </w:rPr>
        <w:t>incinta</w:t>
      </w:r>
      <w:proofErr w:type="spellEnd"/>
      <w:r>
        <w:rPr>
          <w:color w:val="000000"/>
        </w:rPr>
        <w:t>”: A Twitter Account of Women’s Job Titles in Italian”.</w:t>
      </w:r>
    </w:p>
    <w:p w14:paraId="28FC7565"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COFFMAN K.B. (2014), “Evidence on Self-Stereotyping and the Contribution of Ideas*”, </w:t>
      </w:r>
      <w:r>
        <w:rPr>
          <w:i/>
          <w:color w:val="000000"/>
        </w:rPr>
        <w:t>The Quarterly Journal of Economics</w:t>
      </w:r>
      <w:r>
        <w:rPr>
          <w:color w:val="000000"/>
        </w:rPr>
        <w:t>, vol. 129, n. 4, pp. 1625–1660.</w:t>
      </w:r>
    </w:p>
    <w:p w14:paraId="78307EBA"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CORRELL S.J., WEISSHAAR K.R., WYNN A.T., WEHNER J.D. (2020), “Inside the Black Box of Organizational Life: The Gendered Language of Performance Assessment”, </w:t>
      </w:r>
      <w:r>
        <w:rPr>
          <w:i/>
          <w:color w:val="000000"/>
        </w:rPr>
        <w:t>American Sociological Review</w:t>
      </w:r>
      <w:r>
        <w:rPr>
          <w:color w:val="000000"/>
        </w:rPr>
        <w:t>, vol. 85, n. 6, pp. 1022–1050.</w:t>
      </w:r>
    </w:p>
    <w:p w14:paraId="777A9A0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DE FRANCISCO V.L. (1992), “Deborah Tannen, </w:t>
      </w:r>
      <w:proofErr w:type="gramStart"/>
      <w:r>
        <w:rPr>
          <w:color w:val="000000"/>
        </w:rPr>
        <w:t>You</w:t>
      </w:r>
      <w:proofErr w:type="gramEnd"/>
      <w:r>
        <w:rPr>
          <w:color w:val="000000"/>
        </w:rPr>
        <w:t xml:space="preserve"> just don’t understand: Women and men in conversation. New York: William Morrow &amp; Co., 1990. Pp. 330.”, </w:t>
      </w:r>
      <w:r>
        <w:rPr>
          <w:i/>
          <w:color w:val="000000"/>
        </w:rPr>
        <w:t>Language in Society</w:t>
      </w:r>
      <w:r>
        <w:rPr>
          <w:color w:val="000000"/>
        </w:rPr>
        <w:t>, vol. 21, n. 2, pp. 319–324.</w:t>
      </w:r>
    </w:p>
    <w:p w14:paraId="3573230E"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DUTT K., PFAFF D.L., BERNSTEIN A.F., DILLARD J.S., BLOCK C.J. (2016), “Gender differences in recommendation letters for postdoctoral fellowships in geoscience”, </w:t>
      </w:r>
      <w:r>
        <w:rPr>
          <w:i/>
          <w:color w:val="000000"/>
        </w:rPr>
        <w:t>Nature Geoscience</w:t>
      </w:r>
      <w:r>
        <w:rPr>
          <w:color w:val="000000"/>
        </w:rPr>
        <w:t>, vol. 9, n. 11, pp. 805–808.</w:t>
      </w:r>
    </w:p>
    <w:p w14:paraId="1D14B252"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 xml:space="preserve">EFFEQU (2020), </w:t>
      </w:r>
      <w:r w:rsidRPr="000607AC">
        <w:rPr>
          <w:i/>
          <w:color w:val="000000"/>
          <w:lang w:val="it-IT"/>
        </w:rPr>
        <w:t>Lo schwa secondo noi</w:t>
      </w:r>
      <w:r w:rsidRPr="000607AC">
        <w:rPr>
          <w:color w:val="000000"/>
          <w:lang w:val="it-IT"/>
        </w:rPr>
        <w:t>.</w:t>
      </w:r>
    </w:p>
    <w:p w14:paraId="3E09AC49"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EKMAN P. (1992), “An argument for basic emotions”, </w:t>
      </w:r>
      <w:r>
        <w:rPr>
          <w:i/>
          <w:color w:val="000000"/>
        </w:rPr>
        <w:t>Cognition and Emotion</w:t>
      </w:r>
      <w:r>
        <w:rPr>
          <w:color w:val="000000"/>
        </w:rPr>
        <w:t>, vol. 6, n. 3–4, pp. 169–200.</w:t>
      </w:r>
    </w:p>
    <w:p w14:paraId="142344B7"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GIUSTA M.D., BOSWORTH S. (2020), “Bias and discrimination: what do we know?”, </w:t>
      </w:r>
      <w:r>
        <w:rPr>
          <w:i/>
          <w:color w:val="000000"/>
        </w:rPr>
        <w:t>Oxford Review of Economic Policy</w:t>
      </w:r>
      <w:r>
        <w:rPr>
          <w:color w:val="000000"/>
        </w:rPr>
        <w:t>, vol. 36, n. 4, pp. 925–943.</w:t>
      </w:r>
    </w:p>
    <w:p w14:paraId="280FCBF1"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 xml:space="preserve">GYGAX P., ZUFFEREY S., UTE G. (2021), “Le cerveau pense-t-il au masculine?”, </w:t>
      </w:r>
      <w:r w:rsidRPr="000607AC">
        <w:rPr>
          <w:i/>
          <w:color w:val="000000"/>
          <w:lang w:val="it-IT"/>
        </w:rPr>
        <w:t>Le Robert</w:t>
      </w:r>
      <w:r w:rsidRPr="000607AC">
        <w:rPr>
          <w:color w:val="000000"/>
          <w:lang w:val="it-IT"/>
        </w:rPr>
        <w:t>.</w:t>
      </w:r>
    </w:p>
    <w:p w14:paraId="010F9D85"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HENTSCHEL T., HORVATH L.K., PEUS C., SCZESNY S. (2018), “Kick-Starting Female Careers: Attracting Women to Entrepreneurship Programs”, </w:t>
      </w:r>
      <w:r>
        <w:rPr>
          <w:i/>
          <w:color w:val="000000"/>
        </w:rPr>
        <w:t>Journal of Personnel Psychology</w:t>
      </w:r>
      <w:r>
        <w:rPr>
          <w:color w:val="000000"/>
        </w:rPr>
        <w:t>, vol. 17, n. 4, pp. 193–203.</w:t>
      </w:r>
    </w:p>
    <w:p w14:paraId="4F1A96F0"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HORVATH L.K., SCZESNY S. (2016), “Reducing women’s lack of fit with leadership positions? Effects of the wording of job advertisements”, </w:t>
      </w:r>
      <w:r>
        <w:rPr>
          <w:i/>
          <w:color w:val="000000"/>
        </w:rPr>
        <w:t>European Journal of Work and Organizational Psychology</w:t>
      </w:r>
      <w:r>
        <w:rPr>
          <w:color w:val="000000"/>
        </w:rPr>
        <w:t>, vol. 25, n. 2, pp. 316–328.</w:t>
      </w:r>
    </w:p>
    <w:p w14:paraId="4A1D41B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JOHN AUSTIN (1962), </w:t>
      </w:r>
      <w:r>
        <w:rPr>
          <w:i/>
          <w:color w:val="000000"/>
        </w:rPr>
        <w:t>How to do things with words</w:t>
      </w:r>
      <w:r>
        <w:rPr>
          <w:color w:val="000000"/>
        </w:rPr>
        <w:t>.</w:t>
      </w:r>
    </w:p>
    <w:p w14:paraId="5F6DF3B2"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LAKOFF R. (1973), “Language and woman’s place”, </w:t>
      </w:r>
      <w:r>
        <w:rPr>
          <w:i/>
          <w:color w:val="000000"/>
        </w:rPr>
        <w:t>Language in Society</w:t>
      </w:r>
      <w:r>
        <w:rPr>
          <w:color w:val="000000"/>
        </w:rPr>
        <w:t>, vol. 2, n. 1, pp. 45–79.</w:t>
      </w:r>
    </w:p>
    <w:p w14:paraId="182AF00C"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MILLS S. (2008), </w:t>
      </w:r>
      <w:r>
        <w:rPr>
          <w:i/>
          <w:color w:val="000000"/>
        </w:rPr>
        <w:t>Language and sexism</w:t>
      </w:r>
      <w:r>
        <w:rPr>
          <w:color w:val="000000"/>
        </w:rPr>
        <w:t>, 1. publ., Cambridge Univ. Press, Cambridge.</w:t>
      </w:r>
    </w:p>
    <w:p w14:paraId="4247C3EB"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 xml:space="preserve">MIUR (n.d.), </w:t>
      </w:r>
      <w:r w:rsidRPr="000607AC">
        <w:rPr>
          <w:i/>
          <w:color w:val="000000"/>
          <w:lang w:val="it-IT"/>
        </w:rPr>
        <w:t>Linee Guida per l’uso del genere nel linguaggio amministrativo del MIUR</w:t>
      </w:r>
      <w:r w:rsidRPr="000607AC">
        <w:rPr>
          <w:color w:val="000000"/>
          <w:lang w:val="it-IT"/>
        </w:rPr>
        <w:t>.</w:t>
      </w:r>
    </w:p>
    <w:p w14:paraId="5633D3C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MOREHOUSE K.N., KURDI B., HAKIM E., BANAJI M.R. (2022), “When a stereotype dumbfounds: Probing the nature of the surgeon = male belief”, </w:t>
      </w:r>
      <w:r>
        <w:rPr>
          <w:i/>
          <w:color w:val="000000"/>
        </w:rPr>
        <w:t>Current Research in Ecological and Social Psychology</w:t>
      </w:r>
      <w:r>
        <w:rPr>
          <w:color w:val="000000"/>
        </w:rPr>
        <w:t>, vol. 3, p. 100044.</w:t>
      </w:r>
    </w:p>
    <w:p w14:paraId="1D4F7499"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MOULTON J. (1981), “The Myth of the Neutral “man””, </w:t>
      </w:r>
      <w:proofErr w:type="spellStart"/>
      <w:r>
        <w:rPr>
          <w:i/>
          <w:color w:val="000000"/>
        </w:rPr>
        <w:t>Vetterling-Braggin</w:t>
      </w:r>
      <w:proofErr w:type="spellEnd"/>
      <w:r>
        <w:rPr>
          <w:color w:val="000000"/>
        </w:rPr>
        <w:t>.</w:t>
      </w:r>
    </w:p>
    <w:p w14:paraId="0C38D120"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 xml:space="preserve">ROBUSTELLI C. (2012), </w:t>
      </w:r>
      <w:r w:rsidRPr="000607AC">
        <w:rPr>
          <w:i/>
          <w:color w:val="000000"/>
          <w:lang w:val="it-IT"/>
        </w:rPr>
        <w:t>Linee guida per l’uso del genere nel linguaggio amministrativo</w:t>
      </w:r>
      <w:r w:rsidRPr="000607AC">
        <w:rPr>
          <w:color w:val="000000"/>
          <w:lang w:val="it-IT"/>
        </w:rPr>
        <w:t>.</w:t>
      </w:r>
    </w:p>
    <w:p w14:paraId="7ABB6D4C" w14:textId="77777777" w:rsidR="005C7D9A" w:rsidRPr="000607AC" w:rsidRDefault="00000000">
      <w:pPr>
        <w:pBdr>
          <w:top w:val="nil"/>
          <w:left w:val="nil"/>
          <w:bottom w:val="nil"/>
          <w:right w:val="nil"/>
          <w:between w:val="nil"/>
        </w:pBdr>
        <w:spacing w:line="240" w:lineRule="auto"/>
        <w:ind w:firstLine="0"/>
        <w:rPr>
          <w:color w:val="000000"/>
          <w:lang w:val="it-IT"/>
        </w:rPr>
      </w:pPr>
      <w:r>
        <w:rPr>
          <w:color w:val="000000"/>
        </w:rPr>
        <w:t xml:space="preserve">ROCCABRUNA G., AZZOLIN S., RICCARDI G. (2022), “Multi-source Multi-domain Sentiment Analysis with BERT-based Models”, </w:t>
      </w:r>
      <w:r>
        <w:rPr>
          <w:i/>
          <w:color w:val="000000"/>
        </w:rPr>
        <w:t xml:space="preserve">Proceedings of the Thirteenth Language Resources and Evaluation Conference. </w:t>
      </w:r>
      <w:r w:rsidRPr="000607AC">
        <w:rPr>
          <w:i/>
          <w:color w:val="000000"/>
          <w:lang w:val="it-IT"/>
        </w:rPr>
        <w:t>European Language Resources Association.</w:t>
      </w:r>
      <w:r w:rsidRPr="000607AC">
        <w:rPr>
          <w:color w:val="000000"/>
          <w:lang w:val="it-IT"/>
        </w:rPr>
        <w:t>, pp. 581–589.</w:t>
      </w:r>
    </w:p>
    <w:p w14:paraId="035CF10D" w14:textId="77777777" w:rsidR="005C7D9A" w:rsidRPr="000607AC" w:rsidRDefault="00000000">
      <w:pPr>
        <w:pBdr>
          <w:top w:val="nil"/>
          <w:left w:val="nil"/>
          <w:bottom w:val="nil"/>
          <w:right w:val="nil"/>
          <w:between w:val="nil"/>
        </w:pBdr>
        <w:spacing w:line="240" w:lineRule="auto"/>
        <w:ind w:firstLine="0"/>
        <w:rPr>
          <w:color w:val="000000"/>
          <w:lang w:val="it-IT"/>
        </w:rPr>
      </w:pPr>
      <w:r w:rsidRPr="000607AC">
        <w:rPr>
          <w:color w:val="000000"/>
          <w:lang w:val="it-IT"/>
        </w:rPr>
        <w:t xml:space="preserve">SAPEGNO M.S. (2010), </w:t>
      </w:r>
      <w:r w:rsidRPr="000607AC">
        <w:rPr>
          <w:i/>
          <w:color w:val="000000"/>
          <w:lang w:val="it-IT"/>
        </w:rPr>
        <w:t>Che genere di lingua? Sessismo e potere discriminatorio delle parole</w:t>
      </w:r>
      <w:r w:rsidRPr="000607AC">
        <w:rPr>
          <w:color w:val="000000"/>
          <w:lang w:val="it-IT"/>
        </w:rPr>
        <w:t>.</w:t>
      </w:r>
    </w:p>
    <w:p w14:paraId="1F983DB1"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SCZESNY S., FORMANOWICZ M., MOSER F. (2016), “Can Gender-Fair Language Reduce Gender Stereotyping and Discrimination?”, </w:t>
      </w:r>
      <w:r>
        <w:rPr>
          <w:i/>
          <w:color w:val="000000"/>
        </w:rPr>
        <w:t>Frontiers in Psychology 7: 25</w:t>
      </w:r>
      <w:r>
        <w:rPr>
          <w:color w:val="000000"/>
        </w:rPr>
        <w:t>.</w:t>
      </w:r>
    </w:p>
    <w:p w14:paraId="2E836B18"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SHAMBAUGH R. (2008), </w:t>
      </w:r>
      <w:r>
        <w:rPr>
          <w:i/>
          <w:color w:val="000000"/>
        </w:rPr>
        <w:t>It’s not a glass ceiling, it’s a sticky floor: free yourself from the hidden behaviors sabotaging your career success</w:t>
      </w:r>
      <w:r>
        <w:rPr>
          <w:color w:val="000000"/>
        </w:rPr>
        <w:t>, McGraw-Hill, New York.</w:t>
      </w:r>
    </w:p>
    <w:p w14:paraId="02B04F9D"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SULIS G., GHENO V. (2022), “The Debate on Language and Gender in Italy, from the Visibility of Women to Inclusive Language (1980s–2020s)”, </w:t>
      </w:r>
      <w:r>
        <w:rPr>
          <w:i/>
          <w:color w:val="000000"/>
        </w:rPr>
        <w:t xml:space="preserve">The </w:t>
      </w:r>
      <w:proofErr w:type="spellStart"/>
      <w:r>
        <w:rPr>
          <w:i/>
          <w:color w:val="000000"/>
        </w:rPr>
        <w:t>Italianist</w:t>
      </w:r>
      <w:proofErr w:type="spellEnd"/>
      <w:r>
        <w:rPr>
          <w:color w:val="000000"/>
        </w:rPr>
        <w:t>, vol. 42, n. 1, pp. 153–183.</w:t>
      </w:r>
    </w:p>
    <w:p w14:paraId="40EAEFFC" w14:textId="77777777" w:rsidR="005C7D9A" w:rsidRDefault="00000000">
      <w:pPr>
        <w:pBdr>
          <w:top w:val="nil"/>
          <w:left w:val="nil"/>
          <w:bottom w:val="nil"/>
          <w:right w:val="nil"/>
          <w:between w:val="nil"/>
        </w:pBdr>
        <w:spacing w:line="240" w:lineRule="auto"/>
        <w:ind w:firstLine="0"/>
        <w:rPr>
          <w:color w:val="000000"/>
        </w:rPr>
      </w:pPr>
      <w:r>
        <w:rPr>
          <w:color w:val="000000"/>
        </w:rPr>
        <w:lastRenderedPageBreak/>
        <w:t xml:space="preserve">VERVECKEN D., HANNOVER B. (2015), “Yes I </w:t>
      </w:r>
      <w:proofErr w:type="gramStart"/>
      <w:r>
        <w:rPr>
          <w:color w:val="000000"/>
        </w:rPr>
        <w:t>Can!:</w:t>
      </w:r>
      <w:proofErr w:type="gramEnd"/>
      <w:r>
        <w:rPr>
          <w:color w:val="000000"/>
        </w:rPr>
        <w:t xml:space="preserve"> Effects of Gender Fair Job Descriptions on Children’s Perceptions of Job Status, Job Difficulty, and Vocational Self-Efficacy”, </w:t>
      </w:r>
      <w:r>
        <w:rPr>
          <w:i/>
          <w:color w:val="000000"/>
        </w:rPr>
        <w:t>Social Psychology</w:t>
      </w:r>
      <w:r>
        <w:rPr>
          <w:color w:val="000000"/>
        </w:rPr>
        <w:t>, vol. 46, n. 2, pp. 76–92.</w:t>
      </w:r>
    </w:p>
    <w:p w14:paraId="10056800"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VERVECKEN D., HANNOVER B., WOLTER I. (2013), “Changing (S)expectations: How gender fair job descriptions impact children’s perceptions and interest regarding traditionally male occupations”, </w:t>
      </w:r>
      <w:r>
        <w:rPr>
          <w:i/>
          <w:color w:val="000000"/>
        </w:rPr>
        <w:t>Journal of Vocational Behavior</w:t>
      </w:r>
      <w:r>
        <w:rPr>
          <w:color w:val="000000"/>
        </w:rPr>
        <w:t>, vol. 82, n. 3, pp. 208–220.</w:t>
      </w:r>
    </w:p>
    <w:p w14:paraId="3A737D20" w14:textId="77777777" w:rsidR="005C7D9A" w:rsidRDefault="00000000">
      <w:pPr>
        <w:pBdr>
          <w:top w:val="nil"/>
          <w:left w:val="nil"/>
          <w:bottom w:val="nil"/>
          <w:right w:val="nil"/>
          <w:between w:val="nil"/>
        </w:pBdr>
        <w:spacing w:line="240" w:lineRule="auto"/>
        <w:ind w:firstLine="0"/>
        <w:rPr>
          <w:color w:val="000000"/>
        </w:rPr>
      </w:pPr>
      <w:r>
        <w:rPr>
          <w:color w:val="000000"/>
        </w:rPr>
        <w:t xml:space="preserve">WU A.H. (2018), “Gendered Language on the Economics Job Market Rumors Forum”, </w:t>
      </w:r>
      <w:r>
        <w:rPr>
          <w:i/>
          <w:color w:val="000000"/>
        </w:rPr>
        <w:t>AEA Papers and Proceedings</w:t>
      </w:r>
      <w:r>
        <w:rPr>
          <w:color w:val="000000"/>
        </w:rPr>
        <w:t>, vol. 108, pp. 175–179.</w:t>
      </w:r>
    </w:p>
    <w:p w14:paraId="7B940625" w14:textId="77777777" w:rsidR="005C7D9A" w:rsidRDefault="005C7D9A">
      <w:pPr>
        <w:spacing w:line="360" w:lineRule="auto"/>
        <w:rPr>
          <w:sz w:val="18"/>
          <w:szCs w:val="18"/>
        </w:rPr>
      </w:pPr>
    </w:p>
    <w:sectPr w:rsidR="005C7D9A">
      <w:headerReference w:type="default" r:id="rId13"/>
      <w:footerReference w:type="default" r:id="rId14"/>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36ACE2" w14:textId="77777777" w:rsidR="00CE24C5" w:rsidRDefault="00CE24C5">
      <w:pPr>
        <w:spacing w:line="240" w:lineRule="auto"/>
      </w:pPr>
      <w:r>
        <w:separator/>
      </w:r>
    </w:p>
  </w:endnote>
  <w:endnote w:type="continuationSeparator" w:id="0">
    <w:p w14:paraId="2D544EBD" w14:textId="77777777" w:rsidR="00CE24C5" w:rsidRDefault="00CE24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Minion Pro">
    <w:altName w:val="Cambria"/>
    <w:panose1 w:val="020B0604020202020204"/>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6663" w14:textId="77777777" w:rsidR="005C7D9A" w:rsidRDefault="00000000">
    <w:pPr>
      <w:pBdr>
        <w:top w:val="nil"/>
        <w:left w:val="nil"/>
        <w:bottom w:val="nil"/>
        <w:right w:val="nil"/>
        <w:between w:val="nil"/>
      </w:pBdr>
      <w:tabs>
        <w:tab w:val="right" w:pos="9639"/>
      </w:tabs>
      <w:spacing w:line="240" w:lineRule="auto"/>
      <w:ind w:firstLine="0"/>
      <w:jc w:val="left"/>
      <w:rPr>
        <w:b/>
        <w:color w:val="000000"/>
        <w:sz w:val="18"/>
        <w:szCs w:val="18"/>
      </w:rPr>
    </w:pPr>
    <w:proofErr w:type="spellStart"/>
    <w:r>
      <w:rPr>
        <w:b/>
        <w:color w:val="000000"/>
        <w:sz w:val="18"/>
        <w:szCs w:val="18"/>
      </w:rPr>
      <w:t>Sinergie</w:t>
    </w:r>
    <w:proofErr w:type="spellEnd"/>
    <w:r>
      <w:rPr>
        <w:b/>
        <w:color w:val="000000"/>
        <w:sz w:val="18"/>
        <w:szCs w:val="18"/>
      </w:rPr>
      <w:t>-SIMA 2023 Conference</w:t>
    </w:r>
    <w:r>
      <w:rPr>
        <w:i/>
        <w:color w:val="000000"/>
        <w:sz w:val="18"/>
        <w:szCs w:val="18"/>
      </w:rPr>
      <w:t xml:space="preserve"> </w:t>
    </w:r>
    <w:r>
      <w:rPr>
        <w:i/>
        <w:color w:val="000000"/>
        <w:sz w:val="18"/>
        <w:szCs w:val="18"/>
      </w:rPr>
      <w:tab/>
    </w:r>
    <w:proofErr w:type="spellStart"/>
    <w:r>
      <w:rPr>
        <w:b/>
        <w:i/>
        <w:color w:val="000000"/>
        <w:sz w:val="18"/>
        <w:szCs w:val="18"/>
      </w:rPr>
      <w:t>Conference</w:t>
    </w:r>
    <w:proofErr w:type="spellEnd"/>
    <w:r>
      <w:rPr>
        <w:b/>
        <w:i/>
        <w:color w:val="000000"/>
        <w:sz w:val="18"/>
        <w:szCs w:val="18"/>
      </w:rPr>
      <w:t xml:space="preserve"> Proceedings</w:t>
    </w:r>
  </w:p>
  <w:p w14:paraId="5AF4BB08" w14:textId="77777777" w:rsidR="005C7D9A" w:rsidRDefault="00000000">
    <w:pPr>
      <w:pBdr>
        <w:top w:val="nil"/>
        <w:left w:val="nil"/>
        <w:bottom w:val="nil"/>
        <w:right w:val="nil"/>
        <w:between w:val="nil"/>
      </w:pBdr>
      <w:tabs>
        <w:tab w:val="right" w:pos="9639"/>
      </w:tabs>
      <w:spacing w:line="240" w:lineRule="auto"/>
      <w:ind w:firstLine="0"/>
      <w:rPr>
        <w:b/>
        <w:i/>
        <w:color w:val="000000"/>
        <w:sz w:val="18"/>
        <w:szCs w:val="18"/>
        <w:highlight w:val="yellow"/>
      </w:rPr>
    </w:pPr>
    <w:r>
      <w:rPr>
        <w:b/>
        <w:i/>
        <w:color w:val="000000"/>
        <w:sz w:val="18"/>
        <w:szCs w:val="18"/>
      </w:rPr>
      <w:t>Rediscovering local roots and interactions in management</w:t>
    </w:r>
    <w:r>
      <w:rPr>
        <w:i/>
        <w:color w:val="000000"/>
        <w:sz w:val="18"/>
        <w:szCs w:val="18"/>
      </w:rPr>
      <w:tab/>
    </w:r>
    <w:r>
      <w:rPr>
        <w:b/>
        <w:color w:val="000000"/>
        <w:sz w:val="18"/>
        <w:szCs w:val="18"/>
      </w:rPr>
      <w:t xml:space="preserve">ISBN </w:t>
    </w:r>
  </w:p>
  <w:p w14:paraId="79B7FE4A" w14:textId="77777777" w:rsidR="005C7D9A" w:rsidRDefault="00000000">
    <w:pPr>
      <w:widowControl w:val="0"/>
      <w:pBdr>
        <w:top w:val="nil"/>
        <w:left w:val="nil"/>
        <w:bottom w:val="nil"/>
        <w:right w:val="nil"/>
        <w:between w:val="nil"/>
      </w:pBdr>
      <w:tabs>
        <w:tab w:val="right" w:pos="9639"/>
      </w:tabs>
      <w:spacing w:line="240" w:lineRule="auto"/>
      <w:ind w:firstLine="0"/>
      <w:jc w:val="left"/>
      <w:rPr>
        <w:b/>
        <w:color w:val="000000"/>
        <w:sz w:val="18"/>
        <w:szCs w:val="18"/>
      </w:rPr>
    </w:pPr>
    <w:r>
      <w:rPr>
        <w:b/>
        <w:color w:val="000000"/>
        <w:sz w:val="18"/>
        <w:szCs w:val="18"/>
      </w:rPr>
      <w:t>29-30 June 2023 – LUM University and the University of Bari (Italy)</w:t>
    </w:r>
    <w:r>
      <w:rPr>
        <w:color w:val="000000"/>
        <w:sz w:val="18"/>
        <w:szCs w:val="18"/>
      </w:rPr>
      <w:tab/>
    </w:r>
    <w:r>
      <w:rPr>
        <w:b/>
        <w:color w:val="000000"/>
        <w:sz w:val="18"/>
        <w:szCs w:val="18"/>
      </w:rPr>
      <w:t xml:space="preserve">DOI </w:t>
    </w:r>
  </w:p>
  <w:p w14:paraId="22A35BAA" w14:textId="77777777" w:rsidR="005C7D9A" w:rsidRDefault="005C7D9A">
    <w:pPr>
      <w:pBdr>
        <w:top w:val="nil"/>
        <w:left w:val="nil"/>
        <w:bottom w:val="nil"/>
        <w:right w:val="nil"/>
        <w:between w:val="nil"/>
      </w:pBdr>
      <w:tabs>
        <w:tab w:val="right" w:pos="9639"/>
      </w:tabs>
      <w:spacing w:line="240" w:lineRule="auto"/>
      <w:ind w:firstLine="0"/>
      <w:jc w:val="left"/>
      <w:rPr>
        <w:b/>
        <w:color w:val="000000"/>
        <w:sz w:val="18"/>
        <w:szCs w:val="18"/>
      </w:rPr>
    </w:pPr>
  </w:p>
  <w:p w14:paraId="7000491E" w14:textId="77777777" w:rsidR="005C7D9A" w:rsidRDefault="00000000">
    <w:pPr>
      <w:pBdr>
        <w:top w:val="nil"/>
        <w:left w:val="nil"/>
        <w:bottom w:val="nil"/>
        <w:right w:val="nil"/>
        <w:between w:val="nil"/>
      </w:pBdr>
      <w:tabs>
        <w:tab w:val="center" w:pos="4819"/>
        <w:tab w:val="right" w:pos="9638"/>
        <w:tab w:val="left" w:pos="7371"/>
      </w:tabs>
      <w:spacing w:line="240" w:lineRule="auto"/>
      <w:jc w:val="center"/>
      <w:rPr>
        <w:b/>
        <w:color w:val="000000"/>
        <w:sz w:val="24"/>
        <w:szCs w:val="24"/>
      </w:rPr>
    </w:pPr>
    <w:r>
      <w:rPr>
        <w:color w:val="000000"/>
        <w:sz w:val="24"/>
        <w:szCs w:val="24"/>
      </w:rPr>
      <w:fldChar w:fldCharType="begin"/>
    </w:r>
    <w:r>
      <w:rPr>
        <w:color w:val="000000"/>
        <w:sz w:val="24"/>
        <w:szCs w:val="24"/>
      </w:rPr>
      <w:instrText>PAGE</w:instrText>
    </w:r>
    <w:r>
      <w:rPr>
        <w:color w:val="000000"/>
        <w:sz w:val="24"/>
        <w:szCs w:val="24"/>
      </w:rPr>
      <w:fldChar w:fldCharType="separate"/>
    </w:r>
    <w:r w:rsidR="000607AC">
      <w:rPr>
        <w:noProof/>
        <w:color w:val="000000"/>
        <w:sz w:val="24"/>
        <w:szCs w:val="24"/>
      </w:rPr>
      <w:t>1</w:t>
    </w:r>
    <w:r>
      <w:rPr>
        <w:color w:val="000000"/>
        <w:sz w:val="24"/>
        <w:szCs w:val="24"/>
      </w:rPr>
      <w:fldChar w:fldCharType="end"/>
    </w:r>
  </w:p>
  <w:p w14:paraId="56020539" w14:textId="77777777" w:rsidR="005C7D9A" w:rsidRDefault="005C7D9A">
    <w:pPr>
      <w:pBdr>
        <w:top w:val="nil"/>
        <w:left w:val="nil"/>
        <w:bottom w:val="nil"/>
        <w:right w:val="nil"/>
        <w:between w:val="nil"/>
      </w:pBdr>
      <w:tabs>
        <w:tab w:val="center" w:pos="4819"/>
        <w:tab w:val="right" w:pos="96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2E4409" w14:textId="77777777" w:rsidR="00CE24C5" w:rsidRDefault="00CE24C5">
      <w:pPr>
        <w:spacing w:line="240" w:lineRule="auto"/>
      </w:pPr>
      <w:r>
        <w:separator/>
      </w:r>
    </w:p>
  </w:footnote>
  <w:footnote w:type="continuationSeparator" w:id="0">
    <w:p w14:paraId="1A6D24B4" w14:textId="77777777" w:rsidR="00CE24C5" w:rsidRDefault="00CE24C5">
      <w:pPr>
        <w:spacing w:line="240" w:lineRule="auto"/>
      </w:pPr>
      <w:r>
        <w:continuationSeparator/>
      </w:r>
    </w:p>
  </w:footnote>
  <w:footnote w:id="1">
    <w:p w14:paraId="3EDF26EE" w14:textId="77777777" w:rsidR="005C7D9A" w:rsidRDefault="00000000">
      <w:pPr>
        <w:spacing w:line="240" w:lineRule="auto"/>
      </w:pPr>
      <w:r>
        <w:rPr>
          <w:vertAlign w:val="superscript"/>
        </w:rPr>
        <w:footnoteRef/>
      </w:r>
      <w:r>
        <w:rPr>
          <w:sz w:val="18"/>
          <w:szCs w:val="18"/>
        </w:rPr>
        <w:t xml:space="preserve"> Other realistic (but less common) options include the boy having two fathers, being either one biological and one adoptive/stepfather or a gay couple. However, Belle et al. 2021 and Morehouse et al. 2022 also recorded irrational answers where participants imagined that the surgeon could be a ghost or priest and interviewees in a recent (2017) BBC video (</w:t>
      </w:r>
      <w:hyperlink r:id="rId1">
        <w:r>
          <w:rPr>
            <w:color w:val="1155CC"/>
            <w:sz w:val="18"/>
            <w:szCs w:val="18"/>
            <w:u w:val="single"/>
          </w:rPr>
          <w:t>https://www.facebook.com/watch/?v=10154573248485787</w:t>
        </w:r>
      </w:hyperlink>
      <w:r>
        <w:rPr>
          <w:sz w:val="18"/>
          <w:szCs w:val="18"/>
        </w:rPr>
        <w:t>) even hypothesized that it could be God.</w:t>
      </w:r>
    </w:p>
  </w:footnote>
  <w:footnote w:id="2">
    <w:p w14:paraId="11E55CDE" w14:textId="77777777" w:rsidR="005C7D9A" w:rsidRDefault="00000000">
      <w:pPr>
        <w:spacing w:line="240" w:lineRule="auto"/>
        <w:rPr>
          <w:sz w:val="18"/>
          <w:szCs w:val="18"/>
        </w:rPr>
      </w:pPr>
      <w:r>
        <w:rPr>
          <w:vertAlign w:val="superscript"/>
        </w:rPr>
        <w:footnoteRef/>
      </w:r>
      <w:r>
        <w:rPr>
          <w:sz w:val="18"/>
          <w:szCs w:val="18"/>
        </w:rPr>
        <w:t xml:space="preserve"> It is important to point out that empirical studies in the field of psychology have, in general, several limitations. Indeed, they tend to have a small number of participants, and they are conducted in a setting that differs from everyday life. Although the mentioned studies share these general limitations of cognitive science experiments, they nonetheless provide an interesting perspective on the issue. Moreover, the results on the effects of masculine terminology are quite robust since they have been found in a vast number of studies and through a variety of methodologies.</w:t>
      </w:r>
    </w:p>
  </w:footnote>
  <w:footnote w:id="3">
    <w:p w14:paraId="27287369" w14:textId="77777777" w:rsidR="005C7D9A" w:rsidRDefault="00000000">
      <w:pPr>
        <w:spacing w:line="240" w:lineRule="auto"/>
        <w:rPr>
          <w:sz w:val="18"/>
          <w:szCs w:val="18"/>
        </w:rPr>
      </w:pPr>
      <w:r>
        <w:rPr>
          <w:vertAlign w:val="superscript"/>
        </w:rPr>
        <w:footnoteRef/>
      </w:r>
      <w:r>
        <w:rPr>
          <w:sz w:val="18"/>
          <w:szCs w:val="18"/>
        </w:rPr>
        <w:t xml:space="preserve"> There is a handful of nouns that only occur in one gender due to linguistic reasons: e.g., “</w:t>
      </w:r>
      <w:proofErr w:type="spellStart"/>
      <w:r>
        <w:rPr>
          <w:sz w:val="18"/>
          <w:szCs w:val="18"/>
        </w:rPr>
        <w:t>personaggio</w:t>
      </w:r>
      <w:proofErr w:type="spellEnd"/>
      <w:r>
        <w:rPr>
          <w:sz w:val="18"/>
          <w:szCs w:val="18"/>
        </w:rPr>
        <w:t>” (character) is masculine and “</w:t>
      </w:r>
      <w:proofErr w:type="spellStart"/>
      <w:r>
        <w:rPr>
          <w:sz w:val="18"/>
          <w:szCs w:val="18"/>
        </w:rPr>
        <w:t>guida</w:t>
      </w:r>
      <w:proofErr w:type="spellEnd"/>
      <w:r>
        <w:rPr>
          <w:sz w:val="18"/>
          <w:szCs w:val="18"/>
        </w:rPr>
        <w:t>” (guide) is feminine regardless of the gender of their referent. The former is a loan word and the latter a meaning extension and they owe their gender, respectively, to the foreign term and the primitive word they derive from.</w:t>
      </w:r>
    </w:p>
  </w:footnote>
  <w:footnote w:id="4">
    <w:p w14:paraId="55E056EA" w14:textId="77777777" w:rsidR="005C7D9A" w:rsidRDefault="00000000">
      <w:pPr>
        <w:spacing w:line="240" w:lineRule="auto"/>
      </w:pPr>
      <w:r>
        <w:rPr>
          <w:vertAlign w:val="superscript"/>
        </w:rPr>
        <w:footnoteRef/>
      </w:r>
      <w:r>
        <w:rPr>
          <w:sz w:val="18"/>
          <w:szCs w:val="18"/>
        </w:rPr>
        <w:t xml:space="preserve"> For instance, no one would call a male nurse “</w:t>
      </w:r>
      <w:proofErr w:type="spellStart"/>
      <w:r>
        <w:rPr>
          <w:sz w:val="18"/>
          <w:szCs w:val="18"/>
        </w:rPr>
        <w:t>infermiera</w:t>
      </w:r>
      <w:proofErr w:type="spellEnd"/>
      <w:r>
        <w:rPr>
          <w:sz w:val="18"/>
          <w:szCs w:val="18"/>
        </w:rPr>
        <w:t xml:space="preserve">” (nurse, feminine). Sara Mills reports this interesting case from Pauwels (1998) concerning German: “‘die </w:t>
      </w:r>
      <w:proofErr w:type="spellStart"/>
      <w:r>
        <w:rPr>
          <w:sz w:val="18"/>
          <w:szCs w:val="18"/>
        </w:rPr>
        <w:t>Hebamme</w:t>
      </w:r>
      <w:proofErr w:type="spellEnd"/>
      <w:r>
        <w:rPr>
          <w:sz w:val="18"/>
          <w:szCs w:val="18"/>
        </w:rPr>
        <w:t>’ used to be the word for midwife. When men began to work as midwives, this was changed to ‘</w:t>
      </w:r>
      <w:proofErr w:type="spellStart"/>
      <w:r>
        <w:rPr>
          <w:sz w:val="18"/>
          <w:szCs w:val="18"/>
        </w:rPr>
        <w:t>Entbinungspfleger</w:t>
      </w:r>
      <w:proofErr w:type="spellEnd"/>
      <w:r>
        <w:rPr>
          <w:sz w:val="18"/>
          <w:szCs w:val="18"/>
        </w:rPr>
        <w:t xml:space="preserve">’. For women to refer to themselves as midwives, they had to add a feminine affix to the word, making for the much more unwieldy and </w:t>
      </w:r>
      <w:proofErr w:type="gramStart"/>
      <w:r>
        <w:rPr>
          <w:sz w:val="18"/>
          <w:szCs w:val="18"/>
        </w:rPr>
        <w:t>masculine-derived</w:t>
      </w:r>
      <w:proofErr w:type="gramEnd"/>
      <w:r>
        <w:rPr>
          <w:sz w:val="18"/>
          <w:szCs w:val="18"/>
        </w:rPr>
        <w:t xml:space="preserve"> ‘</w:t>
      </w:r>
      <w:proofErr w:type="spellStart"/>
      <w:r>
        <w:rPr>
          <w:sz w:val="18"/>
          <w:szCs w:val="18"/>
        </w:rPr>
        <w:t>Entbinungspflegerin</w:t>
      </w:r>
      <w:proofErr w:type="spellEnd"/>
      <w:r>
        <w:rPr>
          <w:sz w:val="18"/>
          <w:szCs w:val="18"/>
        </w:rPr>
        <w:t xml:space="preserve">’ (see also Hellinger </w:t>
      </w:r>
      <w:proofErr w:type="spellStart"/>
      <w:r>
        <w:rPr>
          <w:sz w:val="18"/>
          <w:szCs w:val="18"/>
        </w:rPr>
        <w:t>ans</w:t>
      </w:r>
      <w:proofErr w:type="spellEnd"/>
      <w:r>
        <w:rPr>
          <w:sz w:val="18"/>
          <w:szCs w:val="18"/>
        </w:rPr>
        <w:t xml:space="preserve"> Bussmann, 2001).” (Mills 2008: 51).</w:t>
      </w:r>
    </w:p>
  </w:footnote>
  <w:footnote w:id="5">
    <w:p w14:paraId="1A732BB2" w14:textId="77777777" w:rsidR="005C7D9A" w:rsidRDefault="00000000">
      <w:pPr>
        <w:spacing w:line="240" w:lineRule="auto"/>
        <w:rPr>
          <w:sz w:val="18"/>
          <w:szCs w:val="18"/>
        </w:rPr>
      </w:pPr>
      <w:r>
        <w:rPr>
          <w:vertAlign w:val="superscript"/>
        </w:rPr>
        <w:footnoteRef/>
      </w:r>
      <w:r>
        <w:t xml:space="preserve"> </w:t>
      </w:r>
      <w:r>
        <w:rPr>
          <w:sz w:val="18"/>
          <w:szCs w:val="18"/>
        </w:rPr>
        <w:t>Moulton imputes this fact to the marked character of feminine words, that is to the fact that feminine terms, unlike masculine ones, can only be used to denote females. Indeed, as she points out, “the unmarked term of a pair of opposites has higher positive associations. The use of a marked term often has a pejorative tone.” (Moulton 1981: 129). See Schultz (1990) for an in-depth investigation of the mechanisms behind derogating feminine terms.</w:t>
      </w:r>
    </w:p>
  </w:footnote>
  <w:footnote w:id="6">
    <w:p w14:paraId="4F601997" w14:textId="77777777" w:rsidR="005C7D9A" w:rsidRDefault="00000000">
      <w:pPr>
        <w:spacing w:line="240" w:lineRule="auto"/>
        <w:rPr>
          <w:sz w:val="18"/>
          <w:szCs w:val="18"/>
        </w:rPr>
      </w:pPr>
      <w:r>
        <w:rPr>
          <w:vertAlign w:val="superscript"/>
        </w:rPr>
        <w:footnoteRef/>
      </w:r>
      <w:r>
        <w:rPr>
          <w:sz w:val="18"/>
          <w:szCs w:val="18"/>
        </w:rPr>
        <w:t xml:space="preserve"> For an overview of all the formation rules of feminine forms see, among others, </w:t>
      </w:r>
      <w:proofErr w:type="spellStart"/>
      <w:r>
        <w:rPr>
          <w:sz w:val="18"/>
          <w:szCs w:val="18"/>
        </w:rPr>
        <w:t>Robustelli</w:t>
      </w:r>
      <w:proofErr w:type="spellEnd"/>
      <w:r>
        <w:rPr>
          <w:sz w:val="18"/>
          <w:szCs w:val="18"/>
        </w:rPr>
        <w:t xml:space="preserve"> (2014), pages 43 and following; Marcato and </w:t>
      </w:r>
      <w:proofErr w:type="spellStart"/>
      <w:r>
        <w:rPr>
          <w:sz w:val="18"/>
          <w:szCs w:val="18"/>
        </w:rPr>
        <w:t>Thüne</w:t>
      </w:r>
      <w:proofErr w:type="spellEnd"/>
      <w:r>
        <w:rPr>
          <w:sz w:val="18"/>
          <w:szCs w:val="18"/>
        </w:rPr>
        <w:t xml:space="preserve"> (2002), pages 191 and following; or the entry “</w:t>
      </w:r>
      <w:proofErr w:type="spellStart"/>
      <w:r>
        <w:rPr>
          <w:sz w:val="18"/>
          <w:szCs w:val="18"/>
        </w:rPr>
        <w:t>femminile</w:t>
      </w:r>
      <w:proofErr w:type="spellEnd"/>
      <w:r>
        <w:rPr>
          <w:sz w:val="18"/>
          <w:szCs w:val="18"/>
        </w:rPr>
        <w:t xml:space="preserve">” (feminine) in the column “la </w:t>
      </w:r>
      <w:proofErr w:type="spellStart"/>
      <w:r>
        <w:rPr>
          <w:sz w:val="18"/>
          <w:szCs w:val="18"/>
        </w:rPr>
        <w:t>parola</w:t>
      </w:r>
      <w:proofErr w:type="spellEnd"/>
      <w:r>
        <w:rPr>
          <w:sz w:val="18"/>
          <w:szCs w:val="18"/>
        </w:rPr>
        <w:t xml:space="preserve"> del </w:t>
      </w:r>
      <w:proofErr w:type="spellStart"/>
      <w:r>
        <w:rPr>
          <w:sz w:val="18"/>
          <w:szCs w:val="18"/>
        </w:rPr>
        <w:t>giorno</w:t>
      </w:r>
      <w:proofErr w:type="spellEnd"/>
      <w:r>
        <w:rPr>
          <w:sz w:val="18"/>
          <w:szCs w:val="18"/>
        </w:rPr>
        <w:t xml:space="preserve">” (the word of the day) on the website </w:t>
      </w:r>
      <w:hyperlink r:id="rId2">
        <w:r>
          <w:rPr>
            <w:color w:val="1155CC"/>
            <w:sz w:val="18"/>
            <w:szCs w:val="18"/>
            <w:u w:val="single"/>
          </w:rPr>
          <w:t>https://dizionaripiu.zanichelli.it</w:t>
        </w:r>
      </w:hyperlink>
    </w:p>
  </w:footnote>
  <w:footnote w:id="7">
    <w:p w14:paraId="34C28C19" w14:textId="77777777" w:rsidR="005C7D9A" w:rsidRDefault="00000000">
      <w:pPr>
        <w:spacing w:line="240" w:lineRule="auto"/>
        <w:rPr>
          <w:sz w:val="18"/>
          <w:szCs w:val="18"/>
        </w:rPr>
      </w:pPr>
      <w:r>
        <w:rPr>
          <w:vertAlign w:val="superscript"/>
        </w:rPr>
        <w:footnoteRef/>
      </w:r>
      <w:r>
        <w:rPr>
          <w:sz w:val="18"/>
          <w:szCs w:val="18"/>
        </w:rPr>
        <w:t xml:space="preserve"> The authors created the FEEL-IT corpus by manually classifying 1000 tweets collected from August 20 to October 12</w:t>
      </w:r>
      <w:proofErr w:type="gramStart"/>
      <w:r>
        <w:rPr>
          <w:sz w:val="18"/>
          <w:szCs w:val="18"/>
        </w:rPr>
        <w:t xml:space="preserve"> 2020</w:t>
      </w:r>
      <w:proofErr w:type="gramEnd"/>
      <w:r>
        <w:rPr>
          <w:sz w:val="18"/>
          <w:szCs w:val="18"/>
        </w:rPr>
        <w:t xml:space="preserve"> (Bianchi et al. 2021).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107748" w14:textId="77777777" w:rsidR="000607AC" w:rsidRPr="00126B34" w:rsidRDefault="000607AC" w:rsidP="000607AC">
    <w:pPr>
      <w:pStyle w:val="Intestazione"/>
      <w:tabs>
        <w:tab w:val="clear" w:pos="4819"/>
        <w:tab w:val="clear" w:pos="9638"/>
        <w:tab w:val="center" w:pos="9072"/>
      </w:tabs>
    </w:pPr>
    <w:r w:rsidRPr="00126B34">
      <w:t>Referee n. 000</w:t>
    </w:r>
    <w:r w:rsidRPr="00126B34">
      <w:tab/>
      <w:t>Paper n. 000</w:t>
    </w:r>
  </w:p>
  <w:p w14:paraId="28BFC76B" w14:textId="77777777" w:rsidR="005C7D9A" w:rsidRDefault="005C7D9A">
    <w:pPr>
      <w:pBdr>
        <w:top w:val="nil"/>
        <w:left w:val="nil"/>
        <w:bottom w:val="nil"/>
        <w:right w:val="nil"/>
        <w:between w:val="nil"/>
      </w:pBdr>
      <w:tabs>
        <w:tab w:val="center" w:pos="4819"/>
        <w:tab w:val="right" w:pos="96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F3F80"/>
    <w:multiLevelType w:val="multilevel"/>
    <w:tmpl w:val="CBA0348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3023CE3"/>
    <w:multiLevelType w:val="multilevel"/>
    <w:tmpl w:val="063C97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3062404"/>
    <w:multiLevelType w:val="multilevel"/>
    <w:tmpl w:val="BE7061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C231068"/>
    <w:multiLevelType w:val="multilevel"/>
    <w:tmpl w:val="283A88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7A4C04B1"/>
    <w:multiLevelType w:val="multilevel"/>
    <w:tmpl w:val="6A3AB9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277956588">
    <w:abstractNumId w:val="0"/>
  </w:num>
  <w:num w:numId="2" w16cid:durableId="173886348">
    <w:abstractNumId w:val="2"/>
  </w:num>
  <w:num w:numId="3" w16cid:durableId="899824208">
    <w:abstractNumId w:val="3"/>
  </w:num>
  <w:num w:numId="4" w16cid:durableId="815218862">
    <w:abstractNumId w:val="4"/>
  </w:num>
  <w:num w:numId="5" w16cid:durableId="19365911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7D9A"/>
    <w:rsid w:val="000607AC"/>
    <w:rsid w:val="004B599A"/>
    <w:rsid w:val="005C7D9A"/>
    <w:rsid w:val="00CE24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4:docId w14:val="07A41059"/>
  <w15:docId w15:val="{B7E078C0-070F-8A4D-9F2B-0DE0C74CA7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it-IT" w:bidi="ar-SA"/>
      </w:rPr>
    </w:rPrDefault>
    <w:pPrDefault>
      <w:pPr>
        <w:spacing w:line="276" w:lineRule="auto"/>
        <w:ind w:firstLine="72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00" w:after="120"/>
      <w:outlineLvl w:val="0"/>
    </w:pPr>
    <w:rPr>
      <w:sz w:val="40"/>
      <w:szCs w:val="40"/>
    </w:rPr>
  </w:style>
  <w:style w:type="paragraph" w:styleId="Titolo2">
    <w:name w:val="heading 2"/>
    <w:basedOn w:val="Normale"/>
    <w:next w:val="Normale"/>
    <w:uiPriority w:val="9"/>
    <w:semiHidden/>
    <w:unhideWhenUsed/>
    <w:qFormat/>
    <w:pPr>
      <w:keepNext/>
      <w:keepLines/>
      <w:spacing w:before="360" w:after="120"/>
      <w:outlineLvl w:val="1"/>
    </w:pPr>
    <w:rPr>
      <w:b/>
      <w:sz w:val="24"/>
      <w:szCs w:val="24"/>
    </w:rPr>
  </w:style>
  <w:style w:type="paragraph" w:styleId="Titolo3">
    <w:name w:val="heading 3"/>
    <w:basedOn w:val="Normale"/>
    <w:next w:val="Normale"/>
    <w:uiPriority w:val="9"/>
    <w:semiHidden/>
    <w:unhideWhenUsed/>
    <w:qFormat/>
    <w:pPr>
      <w:keepNext/>
      <w:keepLines/>
      <w:spacing w:before="320" w:after="80"/>
      <w:outlineLvl w:val="2"/>
    </w:pPr>
    <w:rPr>
      <w:color w:val="434343"/>
      <w:sz w:val="28"/>
      <w:szCs w:val="28"/>
    </w:rPr>
  </w:style>
  <w:style w:type="paragraph" w:styleId="Titolo4">
    <w:name w:val="heading 4"/>
    <w:basedOn w:val="Normale"/>
    <w:next w:val="Normale"/>
    <w:uiPriority w:val="9"/>
    <w:semiHidden/>
    <w:unhideWhenUsed/>
    <w:qFormat/>
    <w:pPr>
      <w:keepNext/>
      <w:keepLines/>
      <w:spacing w:before="280" w:after="80"/>
      <w:outlineLvl w:val="3"/>
    </w:pPr>
    <w:rPr>
      <w:color w:val="666666"/>
      <w:sz w:val="24"/>
      <w:szCs w:val="24"/>
    </w:rPr>
  </w:style>
  <w:style w:type="paragraph" w:styleId="Titolo5">
    <w:name w:val="heading 5"/>
    <w:basedOn w:val="Normale"/>
    <w:next w:val="Normale"/>
    <w:uiPriority w:val="9"/>
    <w:semiHidden/>
    <w:unhideWhenUsed/>
    <w:qFormat/>
    <w:pPr>
      <w:keepNext/>
      <w:keepLines/>
      <w:spacing w:before="240" w:after="80"/>
      <w:outlineLvl w:val="4"/>
    </w:pPr>
    <w:rPr>
      <w:color w:val="666666"/>
      <w:sz w:val="22"/>
      <w:szCs w:val="22"/>
    </w:rPr>
  </w:style>
  <w:style w:type="paragraph" w:styleId="Titolo6">
    <w:name w:val="heading 6"/>
    <w:basedOn w:val="Normale"/>
    <w:next w:val="Normale"/>
    <w:uiPriority w:val="9"/>
    <w:semiHidden/>
    <w:unhideWhenUsed/>
    <w:qFormat/>
    <w:pPr>
      <w:keepNext/>
      <w:keepLines/>
      <w:spacing w:before="240" w:after="80"/>
      <w:outlineLvl w:val="5"/>
    </w:pPr>
    <w:rPr>
      <w:i/>
      <w:color w:val="666666"/>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paragraph" w:styleId="Sottotitolo">
    <w:name w:val="Subtitle"/>
    <w:basedOn w:val="Normale"/>
    <w:next w:val="Normale"/>
    <w:uiPriority w:val="11"/>
    <w:qFormat/>
    <w:pPr>
      <w:keepNext/>
      <w:keepLines/>
      <w:spacing w:after="320"/>
    </w:pPr>
    <w:rPr>
      <w:rFonts w:ascii="Arial" w:eastAsia="Arial" w:hAnsi="Arial" w:cs="Arial"/>
      <w:color w:val="666666"/>
      <w:sz w:val="30"/>
      <w:szCs w:val="30"/>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 w:type="paragraph" w:styleId="Testocommento">
    <w:name w:val="annotation text"/>
    <w:basedOn w:val="Normale"/>
    <w:link w:val="TestocommentoCarattere"/>
    <w:uiPriority w:val="99"/>
    <w:semiHidden/>
    <w:unhideWhenUsed/>
    <w:pPr>
      <w:spacing w:line="240" w:lineRule="auto"/>
    </w:pPr>
  </w:style>
  <w:style w:type="character" w:customStyle="1" w:styleId="TestocommentoCarattere">
    <w:name w:val="Testo commento Carattere"/>
    <w:basedOn w:val="Carpredefinitoparagrafo"/>
    <w:link w:val="Testocommento"/>
    <w:uiPriority w:val="99"/>
    <w:semiHidden/>
  </w:style>
  <w:style w:type="character" w:styleId="Rimandocommento">
    <w:name w:val="annotation reference"/>
    <w:basedOn w:val="Carpredefinitoparagrafo"/>
    <w:uiPriority w:val="99"/>
    <w:semiHidden/>
    <w:unhideWhenUsed/>
    <w:rPr>
      <w:sz w:val="16"/>
      <w:szCs w:val="16"/>
    </w:rPr>
  </w:style>
  <w:style w:type="paragraph" w:customStyle="1" w:styleId="Bibliografia1">
    <w:name w:val="Bibliografia1"/>
    <w:basedOn w:val="Normale"/>
    <w:link w:val="BibliographyCarattere"/>
    <w:rsid w:val="00853905"/>
    <w:pPr>
      <w:spacing w:line="240" w:lineRule="auto"/>
      <w:ind w:firstLine="0"/>
    </w:pPr>
    <w:rPr>
      <w:sz w:val="18"/>
      <w:szCs w:val="18"/>
    </w:rPr>
  </w:style>
  <w:style w:type="character" w:customStyle="1" w:styleId="BibliographyCarattere">
    <w:name w:val="Bibliography Carattere"/>
    <w:basedOn w:val="Carpredefinitoparagrafo"/>
    <w:link w:val="Bibliografia1"/>
    <w:rsid w:val="00853905"/>
    <w:rPr>
      <w:sz w:val="18"/>
      <w:szCs w:val="18"/>
    </w:rPr>
  </w:style>
  <w:style w:type="character" w:styleId="Rimandonotadichiusura">
    <w:name w:val="endnote reference"/>
    <w:basedOn w:val="Carpredefinitoparagrafo"/>
    <w:uiPriority w:val="99"/>
    <w:semiHidden/>
    <w:unhideWhenUsed/>
    <w:rsid w:val="00126B34"/>
    <w:rPr>
      <w:vertAlign w:val="superscript"/>
    </w:rPr>
  </w:style>
  <w:style w:type="character" w:styleId="Rimandonotaapidipagina">
    <w:name w:val="footnote reference"/>
    <w:basedOn w:val="Carpredefinitoparagrafo"/>
    <w:uiPriority w:val="99"/>
    <w:semiHidden/>
    <w:unhideWhenUsed/>
    <w:rsid w:val="00126B34"/>
    <w:rPr>
      <w:vertAlign w:val="superscript"/>
    </w:rPr>
  </w:style>
  <w:style w:type="paragraph" w:styleId="Intestazione">
    <w:name w:val="header"/>
    <w:basedOn w:val="Normale"/>
    <w:link w:val="IntestazioneCarattere"/>
    <w:uiPriority w:val="99"/>
    <w:unhideWhenUsed/>
    <w:rsid w:val="00126B34"/>
    <w:pPr>
      <w:tabs>
        <w:tab w:val="center" w:pos="4819"/>
        <w:tab w:val="right" w:pos="9638"/>
      </w:tabs>
      <w:spacing w:line="240" w:lineRule="auto"/>
    </w:pPr>
  </w:style>
  <w:style w:type="character" w:customStyle="1" w:styleId="IntestazioneCarattere">
    <w:name w:val="Intestazione Carattere"/>
    <w:basedOn w:val="Carpredefinitoparagrafo"/>
    <w:link w:val="Intestazione"/>
    <w:uiPriority w:val="99"/>
    <w:rsid w:val="00126B34"/>
  </w:style>
  <w:style w:type="paragraph" w:styleId="Pidipagina">
    <w:name w:val="footer"/>
    <w:basedOn w:val="Normale"/>
    <w:link w:val="PidipaginaCarattere"/>
    <w:uiPriority w:val="99"/>
    <w:unhideWhenUsed/>
    <w:rsid w:val="00126B34"/>
    <w:pPr>
      <w:tabs>
        <w:tab w:val="center" w:pos="4819"/>
        <w:tab w:val="right" w:pos="9638"/>
      </w:tabs>
      <w:spacing w:line="240" w:lineRule="auto"/>
    </w:pPr>
  </w:style>
  <w:style w:type="character" w:customStyle="1" w:styleId="PidipaginaCarattere">
    <w:name w:val="Piè di pagina Carattere"/>
    <w:basedOn w:val="Carpredefinitoparagrafo"/>
    <w:link w:val="Pidipagina"/>
    <w:uiPriority w:val="99"/>
    <w:rsid w:val="00126B34"/>
  </w:style>
  <w:style w:type="paragraph" w:customStyle="1" w:styleId="Stile16ptGrassettoCentrato">
    <w:name w:val="Stile 16 pt Grassetto Centrato"/>
    <w:basedOn w:val="Normale"/>
    <w:rsid w:val="00126B34"/>
    <w:pPr>
      <w:spacing w:line="240" w:lineRule="auto"/>
      <w:ind w:firstLine="0"/>
      <w:jc w:val="center"/>
    </w:pPr>
    <w:rPr>
      <w:rFonts w:ascii="Arial" w:hAnsi="Arial"/>
      <w:b/>
      <w:bCs/>
      <w:sz w:val="32"/>
      <w:lang w:val="it-IT"/>
    </w:rPr>
  </w:style>
  <w:style w:type="character" w:styleId="Numeropagina">
    <w:name w:val="page number"/>
    <w:uiPriority w:val="99"/>
    <w:rsid w:val="00126B34"/>
    <w:rPr>
      <w:rFonts w:cs="Times New Roman"/>
    </w:rPr>
  </w:style>
  <w:style w:type="paragraph" w:customStyle="1" w:styleId="Paragrafobase">
    <w:name w:val="[Paragrafo base]"/>
    <w:basedOn w:val="Normale"/>
    <w:uiPriority w:val="99"/>
    <w:rsid w:val="00126B34"/>
    <w:pPr>
      <w:suppressAutoHyphens/>
      <w:autoSpaceDE w:val="0"/>
      <w:autoSpaceDN w:val="0"/>
      <w:adjustRightInd w:val="0"/>
      <w:spacing w:line="288" w:lineRule="auto"/>
      <w:ind w:firstLine="0"/>
      <w:jc w:val="left"/>
      <w:textAlignment w:val="center"/>
    </w:pPr>
    <w:rPr>
      <w:rFonts w:ascii="Minion Pro" w:eastAsia="Calibri" w:hAnsi="Minion Pro" w:cs="Minion Pro"/>
      <w:color w:val="000000"/>
      <w:sz w:val="24"/>
      <w:szCs w:val="24"/>
      <w:lang w:val="it-IT"/>
    </w:rPr>
  </w:style>
  <w:style w:type="character" w:customStyle="1" w:styleId="Stiledicarattere1">
    <w:name w:val="Stile di carattere 1"/>
    <w:uiPriority w:val="99"/>
    <w:rsid w:val="00126B34"/>
    <w:rPr>
      <w:i/>
      <w:iCs/>
      <w:sz w:val="18"/>
      <w:szCs w:val="18"/>
    </w:rPr>
  </w:style>
  <w:style w:type="table" w:customStyle="1" w:styleId="a3">
    <w:basedOn w:val="TableNormal0"/>
    <w:tblPr>
      <w:tblStyleRowBandSize w:val="1"/>
      <w:tblStyleColBandSize w:val="1"/>
      <w:tblCellMar>
        <w:top w:w="100" w:type="dxa"/>
        <w:left w:w="100" w:type="dxa"/>
        <w:bottom w:w="100" w:type="dxa"/>
        <w:right w:w="100" w:type="dxa"/>
      </w:tblCellMar>
    </w:tblPr>
  </w:style>
  <w:style w:type="table" w:customStyle="1" w:styleId="a4">
    <w:basedOn w:val="TableNormal0"/>
    <w:tblPr>
      <w:tblStyleRowBandSize w:val="1"/>
      <w:tblStyleColBandSize w:val="1"/>
      <w:tblCellMar>
        <w:top w:w="100" w:type="dxa"/>
        <w:left w:w="100" w:type="dxa"/>
        <w:bottom w:w="100" w:type="dxa"/>
        <w:right w:w="100" w:type="dxa"/>
      </w:tblCellMar>
    </w:tblPr>
  </w:style>
  <w:style w:type="table" w:customStyle="1" w:styleId="a5">
    <w:basedOn w:val="TableNormal0"/>
    <w:tblPr>
      <w:tblStyleRowBandSize w:val="1"/>
      <w:tblStyleColBandSize w:val="1"/>
      <w:tblCellMar>
        <w:top w:w="100" w:type="dxa"/>
        <w:left w:w="100" w:type="dxa"/>
        <w:bottom w:w="100" w:type="dxa"/>
        <w:right w:w="100" w:type="dxa"/>
      </w:tblCellMar>
    </w:tblPr>
  </w:style>
  <w:style w:type="table" w:customStyle="1" w:styleId="a6">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dizionaripiu.zanichelli.it" TargetMode="External"/><Relationship Id="rId1" Type="http://schemas.openxmlformats.org/officeDocument/2006/relationships/hyperlink" Target="https://www.facebook.com/watch/?v=101545732484857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jom9kWddTNW8F1ZxgH61cGjac0Fw==">AMUW2mUvb+g+F5KzGtO8EJ0TJv6PYNS6mprMMR0olHBA6aLGF3V5LoP/uLskh3KKjxeGA7d4EsgJwrJveGpXBa3rbxD9YqimCVpjJ5sdsMzTw9yG/iey2DJA8zfjszuw8KrE/r8sliorxSJ7OY+6dmazxzmHlH+3rQ==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5480</Words>
  <Characters>31238</Characters>
  <Application>Microsoft Office Word</Application>
  <DocSecurity>0</DocSecurity>
  <Lines>260</Lines>
  <Paragraphs>73</Paragraphs>
  <ScaleCrop>false</ScaleCrop>
  <Company/>
  <LinksUpToDate>false</LinksUpToDate>
  <CharactersWithSpaces>36645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andrea franzoni</cp:lastModifiedBy>
  <cp:revision>2</cp:revision>
  <dcterms:created xsi:type="dcterms:W3CDTF">2023-02-15T19:24:00Z</dcterms:created>
  <dcterms:modified xsi:type="dcterms:W3CDTF">2023-02-15T19:24:00Z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zotero-version="6.0.20"&gt;&lt;session id="13egcGQX"/&gt;&lt;style id="http://www.zotero.org/styles/sinergie-italian-journal-of-management" hasBibliography="1" bibliographyStyleHasBeenSet="1"/&gt;&lt;prefs&gt;&lt;pref name="fieldType" value="Field"/&gt;&lt;/pref</vt:lpwstr>
  </property>
  <property fmtid="{D5CDD505-2E9C-101B-9397-08002B2CF9AE}" pid="3" name="ZOTERO_PREF_2">
    <vt:lpwstr>s&gt;&lt;/data&gt;</vt:lpwstr>
  </property>
</Properties>
</file>