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F7B20F" w14:textId="77777777" w:rsidR="003A55A8" w:rsidRPr="00F12D7B" w:rsidRDefault="003A55A8" w:rsidP="003A55A8">
      <w:pPr>
        <w:pStyle w:val="MDPI11articletype"/>
      </w:pPr>
      <w:bookmarkStart w:id="0" w:name="_GoBack"/>
      <w:bookmarkEnd w:id="0"/>
      <w:r w:rsidRPr="00F12D7B">
        <w:t>Article</w:t>
      </w:r>
    </w:p>
    <w:p w14:paraId="5676B8A6" w14:textId="77777777" w:rsidR="00394C5B" w:rsidRPr="00F12D7B" w:rsidRDefault="00394C5B" w:rsidP="00394C5B">
      <w:pPr>
        <w:pStyle w:val="MDPI13authornames"/>
        <w:jc w:val="both"/>
        <w:rPr>
          <w:snapToGrid w:val="0"/>
          <w:sz w:val="36"/>
          <w:szCs w:val="20"/>
        </w:rPr>
      </w:pPr>
      <w:r w:rsidRPr="00F12D7B">
        <w:rPr>
          <w:snapToGrid w:val="0"/>
          <w:sz w:val="36"/>
          <w:szCs w:val="20"/>
        </w:rPr>
        <w:t xml:space="preserve">CYTOTOXIC EFFECT OF TRABECTEDIN IN HUMAN ADRENOCORTICAL CARCINOMA CELL LINES AND PRIMARY CELLS </w:t>
      </w:r>
    </w:p>
    <w:p w14:paraId="239691EC" w14:textId="77777777" w:rsidR="003561BA" w:rsidRDefault="00394C5B" w:rsidP="003561BA">
      <w:pPr>
        <w:pStyle w:val="MDPI16affiliation"/>
        <w:jc w:val="both"/>
        <w:rPr>
          <w:b/>
          <w:sz w:val="20"/>
          <w:szCs w:val="22"/>
          <w:lang w:val="it-IT"/>
        </w:rPr>
      </w:pPr>
      <w:r w:rsidRPr="00F12D7B">
        <w:rPr>
          <w:b/>
          <w:sz w:val="20"/>
          <w:szCs w:val="22"/>
          <w:lang w:val="it-IT"/>
        </w:rPr>
        <w:t>Andrea Abate</w:t>
      </w:r>
      <w:r w:rsidRPr="00F12D7B">
        <w:rPr>
          <w:b/>
          <w:sz w:val="20"/>
          <w:szCs w:val="22"/>
          <w:vertAlign w:val="superscript"/>
          <w:lang w:val="it-IT"/>
        </w:rPr>
        <w:t>1</w:t>
      </w:r>
      <w:r w:rsidRPr="00F12D7B">
        <w:rPr>
          <w:b/>
          <w:sz w:val="20"/>
          <w:szCs w:val="22"/>
          <w:lang w:val="it-IT"/>
        </w:rPr>
        <w:t>, Elisa Rossini</w:t>
      </w:r>
      <w:r w:rsidRPr="00F12D7B">
        <w:rPr>
          <w:b/>
          <w:sz w:val="20"/>
          <w:szCs w:val="22"/>
          <w:vertAlign w:val="superscript"/>
          <w:lang w:val="it-IT"/>
        </w:rPr>
        <w:t>1</w:t>
      </w:r>
      <w:r w:rsidRPr="00F12D7B">
        <w:rPr>
          <w:b/>
          <w:sz w:val="20"/>
          <w:szCs w:val="22"/>
          <w:lang w:val="it-IT"/>
        </w:rPr>
        <w:t>, Sara A. Bonini</w:t>
      </w:r>
      <w:r w:rsidRPr="00F12D7B">
        <w:rPr>
          <w:b/>
          <w:sz w:val="20"/>
          <w:szCs w:val="22"/>
          <w:vertAlign w:val="superscript"/>
          <w:lang w:val="it-IT"/>
        </w:rPr>
        <w:t>1</w:t>
      </w:r>
      <w:r w:rsidRPr="00F12D7B">
        <w:rPr>
          <w:b/>
          <w:sz w:val="20"/>
          <w:szCs w:val="22"/>
          <w:lang w:val="it-IT"/>
        </w:rPr>
        <w:t>, Martina Fragni</w:t>
      </w:r>
      <w:r w:rsidRPr="00F12D7B">
        <w:rPr>
          <w:b/>
          <w:sz w:val="20"/>
          <w:szCs w:val="22"/>
          <w:vertAlign w:val="superscript"/>
          <w:lang w:val="it-IT"/>
        </w:rPr>
        <w:t>1</w:t>
      </w:r>
      <w:r w:rsidRPr="00F12D7B">
        <w:rPr>
          <w:b/>
          <w:sz w:val="20"/>
          <w:szCs w:val="22"/>
          <w:lang w:val="it-IT"/>
        </w:rPr>
        <w:t>, Deborah Cosentini</w:t>
      </w:r>
      <w:r w:rsidRPr="00F12D7B">
        <w:rPr>
          <w:b/>
          <w:sz w:val="20"/>
          <w:szCs w:val="22"/>
          <w:vertAlign w:val="superscript"/>
          <w:lang w:val="it-IT"/>
        </w:rPr>
        <w:t>2</w:t>
      </w:r>
      <w:r w:rsidR="003561BA">
        <w:rPr>
          <w:b/>
          <w:sz w:val="20"/>
          <w:szCs w:val="22"/>
          <w:lang w:val="it-IT"/>
        </w:rPr>
        <w:t>, Guido A.M.</w:t>
      </w:r>
    </w:p>
    <w:p w14:paraId="6268C780" w14:textId="77777777" w:rsidR="003561BA" w:rsidRDefault="00394C5B" w:rsidP="003561BA">
      <w:pPr>
        <w:pStyle w:val="MDPI16affiliation"/>
        <w:jc w:val="both"/>
        <w:rPr>
          <w:b/>
          <w:sz w:val="20"/>
          <w:szCs w:val="22"/>
          <w:lang w:val="it-IT"/>
        </w:rPr>
      </w:pPr>
      <w:r w:rsidRPr="00F12D7B">
        <w:rPr>
          <w:b/>
          <w:sz w:val="20"/>
          <w:szCs w:val="22"/>
          <w:lang w:val="it-IT"/>
        </w:rPr>
        <w:t>Tiberio</w:t>
      </w:r>
      <w:r w:rsidRPr="00F12D7B">
        <w:rPr>
          <w:b/>
          <w:sz w:val="20"/>
          <w:szCs w:val="22"/>
          <w:vertAlign w:val="superscript"/>
          <w:lang w:val="it-IT"/>
        </w:rPr>
        <w:t>3</w:t>
      </w:r>
      <w:r w:rsidRPr="00F12D7B">
        <w:rPr>
          <w:b/>
          <w:sz w:val="20"/>
          <w:szCs w:val="22"/>
          <w:lang w:val="it-IT"/>
        </w:rPr>
        <w:t>, Diego Benetti</w:t>
      </w:r>
      <w:r w:rsidRPr="00F12D7B">
        <w:rPr>
          <w:b/>
          <w:sz w:val="20"/>
          <w:szCs w:val="22"/>
          <w:vertAlign w:val="superscript"/>
          <w:lang w:val="it-IT"/>
        </w:rPr>
        <w:t>4</w:t>
      </w:r>
      <w:r w:rsidRPr="00F12D7B">
        <w:rPr>
          <w:b/>
          <w:sz w:val="20"/>
          <w:szCs w:val="22"/>
          <w:lang w:val="it-IT"/>
        </w:rPr>
        <w:t>; Constanze Hantel</w:t>
      </w:r>
      <w:r w:rsidRPr="00F12D7B">
        <w:rPr>
          <w:b/>
          <w:sz w:val="20"/>
          <w:szCs w:val="22"/>
          <w:vertAlign w:val="superscript"/>
          <w:lang w:val="it-IT"/>
        </w:rPr>
        <w:t>5,6</w:t>
      </w:r>
      <w:r w:rsidR="00635A46" w:rsidRPr="00F12D7B">
        <w:rPr>
          <w:b/>
          <w:sz w:val="20"/>
          <w:szCs w:val="22"/>
          <w:lang w:val="it-IT"/>
        </w:rPr>
        <w:t xml:space="preserve">,  </w:t>
      </w:r>
      <w:r w:rsidRPr="00F12D7B">
        <w:rPr>
          <w:b/>
          <w:sz w:val="20"/>
          <w:szCs w:val="22"/>
          <w:lang w:val="it-IT"/>
        </w:rPr>
        <w:t>Marta Laganà</w:t>
      </w:r>
      <w:r w:rsidRPr="00F12D7B">
        <w:rPr>
          <w:b/>
          <w:sz w:val="20"/>
          <w:szCs w:val="22"/>
          <w:vertAlign w:val="superscript"/>
          <w:lang w:val="it-IT"/>
        </w:rPr>
        <w:t>2</w:t>
      </w:r>
      <w:r w:rsidRPr="00F12D7B">
        <w:rPr>
          <w:b/>
          <w:sz w:val="20"/>
          <w:szCs w:val="22"/>
          <w:lang w:val="it-IT"/>
        </w:rPr>
        <w:t>, Salvatore Grisanti</w:t>
      </w:r>
      <w:r w:rsidRPr="00F12D7B">
        <w:rPr>
          <w:b/>
          <w:sz w:val="20"/>
          <w:szCs w:val="22"/>
          <w:vertAlign w:val="superscript"/>
          <w:lang w:val="it-IT"/>
        </w:rPr>
        <w:t>2</w:t>
      </w:r>
      <w:r w:rsidR="003561BA">
        <w:rPr>
          <w:b/>
          <w:sz w:val="20"/>
          <w:szCs w:val="22"/>
          <w:lang w:val="it-IT"/>
        </w:rPr>
        <w:t>, Massimo</w:t>
      </w:r>
    </w:p>
    <w:p w14:paraId="68BA5F40" w14:textId="77777777" w:rsidR="00394C5B" w:rsidRPr="00F12D7B" w:rsidRDefault="00394C5B" w:rsidP="003561BA">
      <w:pPr>
        <w:pStyle w:val="MDPI16affiliation"/>
        <w:jc w:val="both"/>
        <w:rPr>
          <w:lang w:val="it-IT"/>
        </w:rPr>
      </w:pPr>
      <w:r w:rsidRPr="00F12D7B">
        <w:rPr>
          <w:b/>
          <w:sz w:val="20"/>
          <w:szCs w:val="22"/>
          <w:lang w:val="it-IT"/>
        </w:rPr>
        <w:t>Terzolo</w:t>
      </w:r>
      <w:r w:rsidRPr="00F12D7B">
        <w:rPr>
          <w:b/>
          <w:sz w:val="20"/>
          <w:szCs w:val="22"/>
          <w:vertAlign w:val="superscript"/>
          <w:lang w:val="it-IT"/>
        </w:rPr>
        <w:t>7</w:t>
      </w:r>
      <w:r w:rsidRPr="00F12D7B">
        <w:rPr>
          <w:b/>
          <w:sz w:val="20"/>
          <w:szCs w:val="22"/>
          <w:lang w:val="it-IT"/>
        </w:rPr>
        <w:t>; Maurizio Memo</w:t>
      </w:r>
      <w:r w:rsidRPr="00F12D7B">
        <w:rPr>
          <w:b/>
          <w:sz w:val="20"/>
          <w:szCs w:val="22"/>
          <w:vertAlign w:val="superscript"/>
          <w:lang w:val="it-IT"/>
        </w:rPr>
        <w:t>1</w:t>
      </w:r>
      <w:r w:rsidRPr="00F12D7B">
        <w:rPr>
          <w:b/>
          <w:sz w:val="20"/>
          <w:szCs w:val="22"/>
          <w:lang w:val="it-IT"/>
        </w:rPr>
        <w:t>, Alfredo Berruti</w:t>
      </w:r>
      <w:r w:rsidRPr="00F12D7B">
        <w:rPr>
          <w:b/>
          <w:sz w:val="20"/>
          <w:szCs w:val="22"/>
          <w:vertAlign w:val="superscript"/>
          <w:lang w:val="it-IT"/>
        </w:rPr>
        <w:t>2</w:t>
      </w:r>
      <w:r w:rsidRPr="00F12D7B">
        <w:rPr>
          <w:b/>
          <w:sz w:val="20"/>
          <w:szCs w:val="22"/>
          <w:lang w:val="it-IT"/>
        </w:rPr>
        <w:t>, Sandra Sigala</w:t>
      </w:r>
      <w:r w:rsidRPr="00F12D7B">
        <w:rPr>
          <w:b/>
          <w:sz w:val="20"/>
          <w:szCs w:val="22"/>
          <w:vertAlign w:val="superscript"/>
          <w:lang w:val="it-IT"/>
        </w:rPr>
        <w:t>1,</w:t>
      </w:r>
      <w:r w:rsidRPr="00F12D7B">
        <w:rPr>
          <w:b/>
          <w:sz w:val="20"/>
          <w:szCs w:val="22"/>
          <w:lang w:val="it-IT"/>
        </w:rPr>
        <w:t>*</w:t>
      </w:r>
      <w:r w:rsidR="003A55A8" w:rsidRPr="00F12D7B">
        <w:rPr>
          <w:lang w:val="it-IT"/>
        </w:rPr>
        <w:tab/>
      </w:r>
    </w:p>
    <w:p w14:paraId="50E50DB7" w14:textId="77777777" w:rsidR="00394C5B" w:rsidRPr="00F12D7B" w:rsidRDefault="00394C5B" w:rsidP="003561BA">
      <w:pPr>
        <w:pStyle w:val="MDPI16affiliation"/>
        <w:jc w:val="both"/>
        <w:rPr>
          <w:lang w:val="it-IT"/>
        </w:rPr>
      </w:pPr>
    </w:p>
    <w:p w14:paraId="7E4BFBCB" w14:textId="77777777" w:rsidR="00394C5B" w:rsidRPr="00F12D7B" w:rsidRDefault="00394C5B" w:rsidP="003561BA">
      <w:pPr>
        <w:pStyle w:val="MDPI14history"/>
        <w:jc w:val="both"/>
        <w:rPr>
          <w:szCs w:val="18"/>
        </w:rPr>
      </w:pPr>
      <w:r w:rsidRPr="00F12D7B">
        <w:rPr>
          <w:szCs w:val="18"/>
          <w:vertAlign w:val="superscript"/>
        </w:rPr>
        <w:t>1</w:t>
      </w:r>
      <w:r w:rsidRPr="00F12D7B">
        <w:rPr>
          <w:szCs w:val="18"/>
        </w:rPr>
        <w:t xml:space="preserve"> Section of Pharmacology, Department of Molecular and Translational Medicine, University of Brescia, Brescia, Italy; </w:t>
      </w:r>
    </w:p>
    <w:p w14:paraId="4407A48A" w14:textId="77777777" w:rsidR="00394C5B" w:rsidRPr="00F12D7B" w:rsidRDefault="00394C5B" w:rsidP="003561BA">
      <w:pPr>
        <w:pStyle w:val="MDPI14history"/>
        <w:jc w:val="both"/>
        <w:rPr>
          <w:szCs w:val="18"/>
        </w:rPr>
      </w:pPr>
      <w:r w:rsidRPr="00F12D7B">
        <w:rPr>
          <w:szCs w:val="18"/>
          <w:vertAlign w:val="superscript"/>
        </w:rPr>
        <w:t>2</w:t>
      </w:r>
      <w:r w:rsidRPr="00F12D7B">
        <w:rPr>
          <w:szCs w:val="18"/>
        </w:rPr>
        <w:t xml:space="preserve"> Oncology Unit, Department of Medical and Surgical Specialties, Radiological Sciences, and Public Health, University of Brescia at ASST Spedali Civili di Brescia, Brescia, Italy; </w:t>
      </w:r>
    </w:p>
    <w:p w14:paraId="74401D78" w14:textId="77777777" w:rsidR="00394C5B" w:rsidRPr="00F12D7B" w:rsidRDefault="00394C5B" w:rsidP="003561BA">
      <w:pPr>
        <w:pStyle w:val="MDPI14history"/>
        <w:jc w:val="both"/>
        <w:rPr>
          <w:szCs w:val="18"/>
        </w:rPr>
      </w:pPr>
      <w:r w:rsidRPr="00F12D7B">
        <w:rPr>
          <w:szCs w:val="18"/>
          <w:vertAlign w:val="superscript"/>
        </w:rPr>
        <w:t>3</w:t>
      </w:r>
      <w:r w:rsidRPr="00F12D7B">
        <w:rPr>
          <w:szCs w:val="18"/>
        </w:rPr>
        <w:t xml:space="preserve"> Surgical Clinic, Department of Clinical and Experimental Sciences, University of Brescia at ASST Spedali Civili di Brescia, Brescia, Italy; </w:t>
      </w:r>
    </w:p>
    <w:p w14:paraId="5AB76E8B" w14:textId="77777777" w:rsidR="00394C5B" w:rsidRPr="000B038C" w:rsidRDefault="00394C5B" w:rsidP="003561BA">
      <w:pPr>
        <w:pStyle w:val="MDPI14history"/>
        <w:jc w:val="both"/>
        <w:rPr>
          <w:szCs w:val="18"/>
        </w:rPr>
      </w:pPr>
      <w:r w:rsidRPr="000B038C">
        <w:rPr>
          <w:szCs w:val="18"/>
          <w:vertAlign w:val="superscript"/>
        </w:rPr>
        <w:t>4</w:t>
      </w:r>
      <w:r w:rsidRPr="000B038C">
        <w:rPr>
          <w:szCs w:val="18"/>
        </w:rPr>
        <w:t xml:space="preserve"> Thoracic Surgery Unit, ASST Spedali Civili of Brescia, Brescia, Italy; </w:t>
      </w:r>
    </w:p>
    <w:p w14:paraId="4A189E57" w14:textId="77777777" w:rsidR="00394C5B" w:rsidRPr="000B038C" w:rsidRDefault="00394C5B" w:rsidP="003A55A8">
      <w:pPr>
        <w:pStyle w:val="MDPI14history"/>
        <w:rPr>
          <w:szCs w:val="18"/>
        </w:rPr>
      </w:pPr>
      <w:r w:rsidRPr="000B038C">
        <w:rPr>
          <w:szCs w:val="18"/>
          <w:vertAlign w:val="superscript"/>
        </w:rPr>
        <w:t xml:space="preserve">5 </w:t>
      </w:r>
      <w:r w:rsidRPr="000B038C">
        <w:rPr>
          <w:szCs w:val="18"/>
        </w:rPr>
        <w:t xml:space="preserve">Klinik für Endokrinologie, Diabetologie und Klinische Ernährung, Universitätsspital Zürich, Zurich, Switzerland; </w:t>
      </w:r>
    </w:p>
    <w:p w14:paraId="2D7F5343" w14:textId="77777777" w:rsidR="00394C5B" w:rsidRPr="00F12D7B" w:rsidRDefault="00394C5B" w:rsidP="003A55A8">
      <w:pPr>
        <w:pStyle w:val="MDPI14history"/>
        <w:rPr>
          <w:szCs w:val="18"/>
        </w:rPr>
      </w:pPr>
      <w:r w:rsidRPr="00F12D7B">
        <w:rPr>
          <w:szCs w:val="18"/>
          <w:vertAlign w:val="superscript"/>
        </w:rPr>
        <w:t>6</w:t>
      </w:r>
      <w:r w:rsidRPr="00F12D7B">
        <w:rPr>
          <w:szCs w:val="18"/>
        </w:rPr>
        <w:t xml:space="preserve"> Medizinische Klinik und Poliklinik III, University Hospital Carl Gustav Carus Dresden, Germany; </w:t>
      </w:r>
    </w:p>
    <w:p w14:paraId="08A9FB26" w14:textId="77777777" w:rsidR="00394C5B" w:rsidRPr="00F12D7B" w:rsidRDefault="00394C5B" w:rsidP="003A55A8">
      <w:pPr>
        <w:pStyle w:val="MDPI14history"/>
        <w:rPr>
          <w:szCs w:val="18"/>
        </w:rPr>
      </w:pPr>
      <w:r w:rsidRPr="00F12D7B">
        <w:rPr>
          <w:szCs w:val="18"/>
          <w:vertAlign w:val="superscript"/>
        </w:rPr>
        <w:t>7</w:t>
      </w:r>
      <w:r w:rsidRPr="00F12D7B">
        <w:rPr>
          <w:szCs w:val="18"/>
        </w:rPr>
        <w:t xml:space="preserve"> Department of Clinical and Biological Sciences, University of Turin, Internal Medicine 1, San Luigi Gonzaga Hospital, Orbassano, Italy. </w:t>
      </w:r>
    </w:p>
    <w:p w14:paraId="7C14910E" w14:textId="77777777" w:rsidR="00394C5B" w:rsidRPr="00F12D7B" w:rsidRDefault="00394C5B" w:rsidP="00394C5B">
      <w:pPr>
        <w:rPr>
          <w:lang w:bidi="en-US"/>
        </w:rPr>
      </w:pPr>
    </w:p>
    <w:p w14:paraId="3C0DC564" w14:textId="77777777" w:rsidR="00394C5B" w:rsidRPr="00F12D7B" w:rsidRDefault="00394C5B" w:rsidP="00394C5B">
      <w:pPr>
        <w:pStyle w:val="MDPI14history"/>
        <w:spacing w:before="0"/>
        <w:ind w:left="311" w:hanging="198"/>
      </w:pPr>
      <w:r w:rsidRPr="00F12D7B">
        <w:rPr>
          <w:b/>
        </w:rPr>
        <w:t>*</w:t>
      </w:r>
      <w:r w:rsidRPr="00F12D7B">
        <w:tab/>
        <w:t>Correspondence: sandra.sigala@unibs.it; Tel.: + 0039 +</w:t>
      </w:r>
      <w:r w:rsidR="003561BA">
        <w:t>030</w:t>
      </w:r>
      <w:r w:rsidRPr="00F12D7B">
        <w:t xml:space="preserve"> 3717663</w:t>
      </w:r>
    </w:p>
    <w:p w14:paraId="775A582E" w14:textId="77777777" w:rsidR="00394C5B" w:rsidRPr="00F12D7B" w:rsidRDefault="00394C5B" w:rsidP="00394C5B">
      <w:pPr>
        <w:rPr>
          <w:lang w:bidi="en-US"/>
        </w:rPr>
      </w:pPr>
    </w:p>
    <w:p w14:paraId="5FF5C828" w14:textId="77777777" w:rsidR="003A55A8" w:rsidRPr="00F12D7B" w:rsidRDefault="003A55A8" w:rsidP="003A55A8">
      <w:pPr>
        <w:pStyle w:val="MDPI14history"/>
      </w:pPr>
      <w:r w:rsidRPr="00F12D7B">
        <w:t>Received: date; Accepted: date; Published: date</w:t>
      </w:r>
    </w:p>
    <w:p w14:paraId="730C92A6" w14:textId="77777777" w:rsidR="00394C5B" w:rsidRPr="00F12D7B" w:rsidRDefault="003A55A8" w:rsidP="00394C5B">
      <w:pPr>
        <w:pStyle w:val="MDPI17abstract"/>
      </w:pPr>
      <w:r w:rsidRPr="00F12D7B">
        <w:rPr>
          <w:b/>
        </w:rPr>
        <w:t xml:space="preserve">Abstract: </w:t>
      </w:r>
      <w:r w:rsidR="00394C5B" w:rsidRPr="00F12D7B">
        <w:t xml:space="preserve">Mitotane is the only drug approved for the treatment of AdrenoCortical Carcinoma (ACC). The regimen to be added to mitotane is a chemotherapy including etoposide, doxorubicin, and cisplatin. This pharmacological approach however has a limited efficacy and significant toxicity. Evidence indicates that ACC seems to be sensible to alkylating agents. Trabectedin is an anti-tumor drug that acts as an alkylating agent, with a complex  mechanism of action. Here, we investigated whether trabectedin could exert a cytotoxic activity in in vitro cell models of ACC. </w:t>
      </w:r>
    </w:p>
    <w:p w14:paraId="4462EEA1" w14:textId="77777777" w:rsidR="00394C5B" w:rsidRPr="00F12D7B" w:rsidRDefault="00394C5B" w:rsidP="00394C5B">
      <w:pPr>
        <w:pStyle w:val="MDPI17abstract"/>
      </w:pPr>
      <w:r w:rsidRPr="00F12D7B">
        <w:t xml:space="preserve">Cell viability was evaluated by MTT assay on ACC cell lines and primary cell cultures. The gene expression was evaluated by q-RT-PCR, while protein expression and localization was studied by western blot and immunocytochemistry. Combination experiments were performed to evaluate their interaction on ACC cell line viability. </w:t>
      </w:r>
    </w:p>
    <w:p w14:paraId="226967F0" w14:textId="2EC51C3D" w:rsidR="00394C5B" w:rsidRPr="00F12D7B" w:rsidRDefault="00394C5B" w:rsidP="00394C5B">
      <w:pPr>
        <w:pStyle w:val="MDPI17abstract"/>
      </w:pPr>
      <w:r w:rsidRPr="00F12D7B">
        <w:t xml:space="preserve">Trabectedin demonstrated high cytotoxicity at sub-nanomolar concentrations in ACC cell lines and patient-derived primary cell cultures. </w:t>
      </w:r>
      <w:r w:rsidR="00CC0D27">
        <w:t>T</w:t>
      </w:r>
      <w:r w:rsidR="00CC0D27" w:rsidRPr="00CC0D27">
        <w:t xml:space="preserve">he </w:t>
      </w:r>
      <w:r w:rsidR="00CC0D27">
        <w:t xml:space="preserve">drug was able to reduce </w:t>
      </w:r>
      <w:r w:rsidR="00CC0D27" w:rsidRPr="00CC0D27">
        <w:t xml:space="preserve">/β catenin </w:t>
      </w:r>
      <w:r w:rsidR="00CC0D27">
        <w:t xml:space="preserve">nuclear localization, </w:t>
      </w:r>
      <w:r w:rsidR="00CC0D27" w:rsidRPr="00CC0D27">
        <w:t xml:space="preserve"> although it is unclear whether this effect is involved to the observed cytotoxicity.</w:t>
      </w:r>
      <w:r w:rsidRPr="00F12D7B">
        <w:t xml:space="preserve"> Trabectedin/mitotane combination exerted a synergic cytotoxic effect in NCI-H295R cells. </w:t>
      </w:r>
    </w:p>
    <w:p w14:paraId="40C526AC" w14:textId="77777777" w:rsidR="003A55A8" w:rsidRPr="00F12D7B" w:rsidRDefault="00394C5B" w:rsidP="00394C5B">
      <w:pPr>
        <w:pStyle w:val="MDPI17abstract"/>
        <w:rPr>
          <w:color w:val="auto"/>
        </w:rPr>
      </w:pPr>
      <w:r w:rsidRPr="00F12D7B">
        <w:t>Trabectedin has antineoplastic activity in ACC cells. The synergistic cytotoxic activity of trabectedin with mitotane provides the rationale for testing this combination in a clinical study.</w:t>
      </w:r>
    </w:p>
    <w:p w14:paraId="66696F12" w14:textId="77777777" w:rsidR="003A55A8" w:rsidRPr="00F12D7B" w:rsidRDefault="003A55A8" w:rsidP="003A55A8">
      <w:pPr>
        <w:pStyle w:val="MDPI18keywords"/>
      </w:pPr>
      <w:r w:rsidRPr="00F12D7B">
        <w:rPr>
          <w:b/>
        </w:rPr>
        <w:lastRenderedPageBreak/>
        <w:t xml:space="preserve">Keywords: </w:t>
      </w:r>
      <w:r w:rsidR="00394C5B" w:rsidRPr="00F12D7B">
        <w:t>trabectedin, adrenocortical carcinoma, cytotoxicity, in vitro, cell lines, primary cell cultures</w:t>
      </w:r>
    </w:p>
    <w:p w14:paraId="75D6F687" w14:textId="77777777" w:rsidR="003A55A8" w:rsidRPr="00F12D7B" w:rsidRDefault="003A55A8" w:rsidP="003A55A8">
      <w:pPr>
        <w:pStyle w:val="MDPI19line"/>
      </w:pPr>
    </w:p>
    <w:p w14:paraId="52BC95F3" w14:textId="77777777" w:rsidR="003A55A8" w:rsidRPr="00F12D7B" w:rsidRDefault="003A55A8" w:rsidP="003A55A8">
      <w:pPr>
        <w:pStyle w:val="MDPI21heading1"/>
      </w:pPr>
      <w:r w:rsidRPr="00F12D7B">
        <w:rPr>
          <w:lang w:eastAsia="zh-CN"/>
        </w:rPr>
        <w:t xml:space="preserve">1. </w:t>
      </w:r>
      <w:r w:rsidRPr="00F12D7B">
        <w:t>Introduction</w:t>
      </w:r>
    </w:p>
    <w:p w14:paraId="27D15D53" w14:textId="5AD912D8" w:rsidR="00635A46" w:rsidRPr="00F12D7B" w:rsidRDefault="00635A46" w:rsidP="00635A46">
      <w:pPr>
        <w:pStyle w:val="MDPI21heading1"/>
        <w:jc w:val="both"/>
        <w:rPr>
          <w:b w:val="0"/>
        </w:rPr>
      </w:pPr>
      <w:r w:rsidRPr="00F12D7B">
        <w:rPr>
          <w:b w:val="0"/>
        </w:rPr>
        <w:t xml:space="preserve">Adrenocortical carcinoma (ACC) is a rare and aggressive tumor characterized by an estimated incidence of 0.7-2.0 cases/million people per year and an overall 5-year survival rate less than 15% in patients with metastatic disease [1]. To date, radical surgery at experienced centers still remains the only potential curative treatment for patients with early disease stage and those with locally advanced ACC responding to neoadjuvant treatment. However, 30-70% of radically operated patients recur within two years often with metastatic disease [1]. Clinical manifestations of ACC can be consequences of adrenal hormone excess (functional tumors) or growing abdominal masses. Standard systemic therapies for patients with advanced ACC are mitotane and chemotherapy [2].  The dichlorodiphenyl trichloroethane derivative mitotane represents the only drug approved for the treatment of ACC since many decades, although its mechanism of antineoplastic activity is not fully understood [3] Clinical evidence shows that the efficacy of mitotane is strictly dependent on the attaining and maintenance over time of circulating blood levels within the 14-20 mg/dL range [2].  Due to the pharmacokinetic characteristics of mitotane, this value is usually reached in about 2-3 months [4] and this long latency could impair at least in part the efficacy of the treatment. The standard chemotherapy regimen to be added to mitotane as first-line treatment for advanced ACC is the combination of EDP (Etoposide, Doxorubicin, Cisplatin) [5, 6]. The EDP-M regimen however has a limited efficacy and its administration is burdened by significant toxicity. Moreover, no efficacious second line therapies are available up to now [7, 8]. Therefore, new treatment strategies are needed.  DNA alkylation appears to be a critical point for inducing cytotoxicity in the ACC, indeed, cisplatin is a fundamental component of the EDP-M scheme. Furthermore, results obtained both in vitro [9] and  in vivo [10] support the antineoplastic activity of another alkylating agent such as temozolomide against ACC. Trabectedin (ET-743) is a powerful anti-tumor drug isolated from the Caribbean tunicate Ecteinascidia turbinata. The compound is approved for the treatment of soft tissue sarcoma (STS) and relapsed platinum-sensitive ovarian cancer (OC). Although trabectedin acts as an alkylating agent, its mechanism of action is more complex than expected. Indeed, the drug interferes with the minor groove, binding the guanine </w:t>
      </w:r>
      <w:r w:rsidR="00623930">
        <w:rPr>
          <w:b w:val="0"/>
        </w:rPr>
        <w:t>to</w:t>
      </w:r>
      <w:r w:rsidR="00623930" w:rsidRPr="00F12D7B">
        <w:rPr>
          <w:b w:val="0"/>
        </w:rPr>
        <w:t xml:space="preserve"> </w:t>
      </w:r>
      <w:r w:rsidRPr="00F12D7B">
        <w:rPr>
          <w:b w:val="0"/>
        </w:rPr>
        <w:t>the exocyclic N2 amino group [11], modifying the recognition of GC-enriched sequences of transcriptional factors, often involved in the oncogene transcription.  It has been observed that trabectedin interferes with FUS-CHOP and EWS-CHOP fusion proteins, inhibiting their ability to induce the transcription of different oncogenes [12, 13] Furthermore, in vitro studies demonstrate that trabectedin down regulates the Wnt/ β-catenin pathway in cell cultures of biliary tract adenocarcinoma [14] Finally, trabectedin was shown to modulate the activity of immune cells in the tumor microenvironment, reducing the production of pro-inflammatory mediators (for a review see [11]). These assumptions leaded us to hypothesize that trabectedin could exert a cytotoxic effect also in ACC. To explore this issue, we took advance of the experimental in vitro model of ACC cell lines as well as patient-derived ACC primary cell cultures.</w:t>
      </w:r>
    </w:p>
    <w:p w14:paraId="25F60F06" w14:textId="77777777" w:rsidR="00A6331C" w:rsidRPr="00F12D7B" w:rsidRDefault="00A6331C" w:rsidP="00635A46">
      <w:pPr>
        <w:pStyle w:val="MDPI21heading1"/>
        <w:jc w:val="both"/>
        <w:rPr>
          <w:b w:val="0"/>
        </w:rPr>
      </w:pPr>
    </w:p>
    <w:p w14:paraId="6BAB12CC" w14:textId="77777777" w:rsidR="003A55A8" w:rsidRPr="00F12D7B" w:rsidRDefault="003A55A8" w:rsidP="00146EF2">
      <w:pPr>
        <w:pStyle w:val="MDPI21heading1"/>
      </w:pPr>
      <w:r w:rsidRPr="00F12D7B">
        <w:t>2. Results.</w:t>
      </w:r>
    </w:p>
    <w:p w14:paraId="1CFD101A" w14:textId="77777777" w:rsidR="00146EF2" w:rsidRPr="00F12D7B" w:rsidRDefault="00611407" w:rsidP="00146EF2">
      <w:pPr>
        <w:pStyle w:val="MDPI22heading2"/>
      </w:pPr>
      <w:r w:rsidRPr="00F12D7B">
        <w:t xml:space="preserve">2.1. </w:t>
      </w:r>
      <w:r w:rsidR="00146EF2" w:rsidRPr="00F12D7B">
        <w:t>Trabectedin induced cytotoxicity in ACC cell lines</w:t>
      </w:r>
    </w:p>
    <w:p w14:paraId="335F6FD1" w14:textId="77777777" w:rsidR="001556A1" w:rsidRDefault="00146EF2" w:rsidP="001556A1">
      <w:pPr>
        <w:pStyle w:val="MDPI22heading2"/>
        <w:jc w:val="both"/>
        <w:rPr>
          <w:i w:val="0"/>
          <w:noProof w:val="0"/>
        </w:rPr>
      </w:pPr>
      <w:r w:rsidRPr="00F12D7B">
        <w:rPr>
          <w:i w:val="0"/>
          <w:noProof w:val="0"/>
        </w:rPr>
        <w:t>Exposure of NCI-H295R cells to increasing concentrations of trabectedin (0.0625 – 0.750 nM) for 4 days led to a concentration-dependent reduction of cell viability. Sigmoidal concentration-response function was applied to calculate the IC50 value of trabectedin, which was 0.15 nM (95% confidence interval [CI]: 0.13 - 0.17nM). The drug was highly active in inducing cytotoxicity, as its efficacy reached about 90% at the highest concentration tested (Fig. 1A).</w:t>
      </w:r>
    </w:p>
    <w:p w14:paraId="6F516B81" w14:textId="77777777" w:rsidR="001556A1" w:rsidRDefault="00146EF2" w:rsidP="001556A1">
      <w:pPr>
        <w:pStyle w:val="MDPI22heading2"/>
        <w:keepNext/>
        <w:jc w:val="center"/>
      </w:pPr>
      <w:r w:rsidRPr="00F12D7B">
        <w:rPr>
          <w:i w:val="0"/>
          <w:noProof w:val="0"/>
        </w:rPr>
        <w:lastRenderedPageBreak/>
        <w:t xml:space="preserve"> </w:t>
      </w:r>
      <w:r w:rsidR="001556A1" w:rsidRPr="001556A1">
        <w:rPr>
          <w:lang w:val="it-IT" w:eastAsia="it-IT" w:bidi="ar-SA"/>
        </w:rPr>
        <w:drawing>
          <wp:inline distT="0" distB="0" distL="0" distR="0" wp14:anchorId="3E7AC1CB" wp14:editId="06695840">
            <wp:extent cx="4341495" cy="4531995"/>
            <wp:effectExtent l="0" t="0" r="1905" b="1905"/>
            <wp:docPr id="6" name="Immagine 6" descr="C:\Users\Giustina\Google Drive\Laboratorio_\Esperimenti\ACC\Trabectedina in ACC\Ms trabectedin\Cancers 30-01-20\Figures ok\Fi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iustina\Google Drive\Laboratorio_\Esperimenti\ACC\Trabectedina in ACC\Ms trabectedin\Cancers 30-01-20\Figures ok\Fig. 1.t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41495" cy="4531995"/>
                    </a:xfrm>
                    <a:prstGeom prst="rect">
                      <a:avLst/>
                    </a:prstGeom>
                    <a:noFill/>
                    <a:ln>
                      <a:noFill/>
                    </a:ln>
                  </pic:spPr>
                </pic:pic>
              </a:graphicData>
            </a:graphic>
          </wp:inline>
        </w:drawing>
      </w:r>
    </w:p>
    <w:p w14:paraId="2196381D" w14:textId="77777777" w:rsidR="00DF042E" w:rsidRDefault="001556A1" w:rsidP="001556A1">
      <w:pPr>
        <w:pStyle w:val="Didascalia"/>
        <w:rPr>
          <w:rFonts w:ascii="Palatino Linotype" w:hAnsi="Palatino Linotype"/>
          <w:i w:val="0"/>
          <w:iCs w:val="0"/>
          <w:color w:val="000000"/>
          <w:szCs w:val="20"/>
          <w:lang w:bidi="en-US"/>
        </w:rPr>
      </w:pPr>
      <w:r w:rsidRPr="001556A1">
        <w:rPr>
          <w:rFonts w:ascii="Palatino Linotype" w:hAnsi="Palatino Linotype"/>
          <w:b/>
          <w:i w:val="0"/>
          <w:iCs w:val="0"/>
          <w:color w:val="000000"/>
          <w:szCs w:val="20"/>
          <w:lang w:bidi="en-US"/>
        </w:rPr>
        <w:t>Figure</w:t>
      </w:r>
      <w:r w:rsidR="00DF042E">
        <w:rPr>
          <w:rFonts w:ascii="Palatino Linotype" w:hAnsi="Palatino Linotype"/>
          <w:b/>
          <w:i w:val="0"/>
          <w:iCs w:val="0"/>
          <w:color w:val="000000"/>
          <w:szCs w:val="20"/>
          <w:lang w:bidi="en-US"/>
        </w:rPr>
        <w:t xml:space="preserve"> </w:t>
      </w:r>
      <w:r>
        <w:rPr>
          <w:rFonts w:ascii="Palatino Linotype" w:hAnsi="Palatino Linotype"/>
          <w:b/>
          <w:i w:val="0"/>
          <w:iCs w:val="0"/>
          <w:color w:val="000000"/>
          <w:szCs w:val="20"/>
          <w:lang w:bidi="en-US"/>
        </w:rPr>
        <w:t>1.</w:t>
      </w:r>
      <w:r w:rsidRPr="001556A1">
        <w:rPr>
          <w:rFonts w:ascii="Palatino Linotype" w:hAnsi="Palatino Linotype"/>
          <w:b/>
          <w:i w:val="0"/>
          <w:iCs w:val="0"/>
          <w:color w:val="000000"/>
          <w:szCs w:val="20"/>
          <w:lang w:bidi="en-US"/>
        </w:rPr>
        <w:t xml:space="preserve"> </w:t>
      </w:r>
      <w:r w:rsidRPr="001556A1">
        <w:rPr>
          <w:rFonts w:ascii="Palatino Linotype" w:hAnsi="Palatino Linotype"/>
          <w:i w:val="0"/>
          <w:iCs w:val="0"/>
          <w:color w:val="000000"/>
          <w:szCs w:val="20"/>
          <w:lang w:bidi="en-US"/>
        </w:rPr>
        <w:t xml:space="preserve">Cytotoxic effect of trabectedin in ACC cell models. </w:t>
      </w:r>
      <w:r w:rsidRPr="001556A1">
        <w:rPr>
          <w:rFonts w:ascii="Palatino Linotype" w:hAnsi="Palatino Linotype"/>
          <w:b/>
          <w:i w:val="0"/>
          <w:iCs w:val="0"/>
          <w:color w:val="000000"/>
          <w:szCs w:val="20"/>
          <w:lang w:bidi="en-US"/>
        </w:rPr>
        <w:t>(A)</w:t>
      </w:r>
      <w:r w:rsidRPr="001556A1">
        <w:rPr>
          <w:rFonts w:ascii="Palatino Linotype" w:hAnsi="Palatino Linotype"/>
          <w:i w:val="0"/>
          <w:iCs w:val="0"/>
          <w:color w:val="000000"/>
          <w:szCs w:val="20"/>
          <w:lang w:bidi="en-US"/>
        </w:rPr>
        <w:t xml:space="preserve"> Concentration-response curve of trabectedin-induced inhibition of cell viability of in NCI-H295R cells. Cells were treated with increasing concentration of trabectedin (0.0625 nM – 0.75 nM) for 4 days. </w:t>
      </w:r>
      <w:r w:rsidRPr="001556A1">
        <w:rPr>
          <w:rFonts w:ascii="Palatino Linotype" w:hAnsi="Palatino Linotype"/>
          <w:b/>
          <w:i w:val="0"/>
          <w:iCs w:val="0"/>
          <w:color w:val="000000"/>
          <w:szCs w:val="20"/>
          <w:lang w:bidi="en-US"/>
        </w:rPr>
        <w:t>(B)</w:t>
      </w:r>
      <w:r w:rsidRPr="001556A1">
        <w:rPr>
          <w:rFonts w:ascii="Palatino Linotype" w:hAnsi="Palatino Linotype"/>
          <w:i w:val="0"/>
          <w:iCs w:val="0"/>
          <w:color w:val="000000"/>
          <w:szCs w:val="20"/>
          <w:lang w:bidi="en-US"/>
        </w:rPr>
        <w:t xml:space="preserve"> Cytotoxic effect lasted after trabectedin withdrawn. Cells were treated with the trabectedin IC50 (0.15 nM) for 4 days, then trabectedin was withdrawn from medium and cells were kept in culture for further 4 days. </w:t>
      </w:r>
      <w:r w:rsidRPr="001556A1">
        <w:rPr>
          <w:rFonts w:ascii="Palatino Linotype" w:hAnsi="Palatino Linotype"/>
          <w:b/>
          <w:i w:val="0"/>
          <w:iCs w:val="0"/>
          <w:color w:val="000000"/>
          <w:szCs w:val="20"/>
          <w:lang w:bidi="en-US"/>
        </w:rPr>
        <w:t>(C)</w:t>
      </w:r>
      <w:r w:rsidRPr="001556A1">
        <w:rPr>
          <w:rFonts w:ascii="Palatino Linotype" w:hAnsi="Palatino Linotype"/>
          <w:i w:val="0"/>
          <w:iCs w:val="0"/>
          <w:color w:val="000000"/>
          <w:szCs w:val="20"/>
          <w:lang w:bidi="en-US"/>
        </w:rPr>
        <w:t xml:space="preserve"> MUC-1 cells were treated for 5 days with increasing concentrations (0.125 nM – 2.0 nM) of trabectedin.</w:t>
      </w:r>
      <w:r>
        <w:rPr>
          <w:rFonts w:ascii="Palatino Linotype" w:hAnsi="Palatino Linotype"/>
          <w:i w:val="0"/>
          <w:iCs w:val="0"/>
          <w:color w:val="000000"/>
          <w:szCs w:val="20"/>
          <w:lang w:bidi="en-US"/>
        </w:rPr>
        <w:t xml:space="preserve"> </w:t>
      </w:r>
      <w:r w:rsidRPr="001556A1">
        <w:rPr>
          <w:rFonts w:ascii="Palatino Linotype" w:hAnsi="Palatino Linotype"/>
          <w:b/>
          <w:i w:val="0"/>
          <w:iCs w:val="0"/>
          <w:color w:val="000000"/>
          <w:szCs w:val="20"/>
          <w:lang w:bidi="en-US"/>
        </w:rPr>
        <w:t>(D)</w:t>
      </w:r>
      <w:r>
        <w:rPr>
          <w:rFonts w:ascii="Palatino Linotype" w:hAnsi="Palatino Linotype"/>
          <w:i w:val="0"/>
          <w:iCs w:val="0"/>
          <w:color w:val="000000"/>
          <w:szCs w:val="20"/>
          <w:lang w:bidi="en-US"/>
        </w:rPr>
        <w:t xml:space="preserve"> </w:t>
      </w:r>
      <w:r w:rsidRPr="001556A1">
        <w:rPr>
          <w:rFonts w:ascii="Palatino Linotype" w:hAnsi="Palatino Linotype"/>
          <w:i w:val="0"/>
          <w:iCs w:val="0"/>
          <w:color w:val="000000"/>
          <w:szCs w:val="20"/>
          <w:lang w:bidi="en-US"/>
        </w:rPr>
        <w:t xml:space="preserve">MUC-1 cells were treated with 0.80 nM trabectedin for 5 days then trabectedin was withdrawn from medium and cells were kept in culture for further 5 days.  </w:t>
      </w:r>
      <w:r w:rsidRPr="001556A1">
        <w:rPr>
          <w:rFonts w:ascii="Palatino Linotype" w:hAnsi="Palatino Linotype"/>
          <w:b/>
          <w:i w:val="0"/>
          <w:iCs w:val="0"/>
          <w:color w:val="000000"/>
          <w:szCs w:val="20"/>
          <w:lang w:bidi="en-US"/>
        </w:rPr>
        <w:t>(E)</w:t>
      </w:r>
      <w:r w:rsidRPr="001556A1">
        <w:rPr>
          <w:rFonts w:ascii="Palatino Linotype" w:hAnsi="Palatino Linotype"/>
          <w:i w:val="0"/>
          <w:iCs w:val="0"/>
          <w:color w:val="000000"/>
          <w:szCs w:val="20"/>
          <w:lang w:bidi="en-US"/>
        </w:rPr>
        <w:t xml:space="preserve"> The sub-clone HAC-15 cells were treated for 6 days with increasing concentrations (0.125 nM – 1.5 nM) of trabectedin. </w:t>
      </w:r>
      <w:r w:rsidRPr="001556A1">
        <w:rPr>
          <w:rFonts w:ascii="Palatino Linotype" w:hAnsi="Palatino Linotype"/>
          <w:b/>
          <w:i w:val="0"/>
          <w:iCs w:val="0"/>
          <w:color w:val="000000"/>
          <w:szCs w:val="20"/>
          <w:lang w:bidi="en-US"/>
        </w:rPr>
        <w:t>(F)</w:t>
      </w:r>
      <w:r w:rsidRPr="001556A1">
        <w:rPr>
          <w:rFonts w:ascii="Palatino Linotype" w:hAnsi="Palatino Linotype"/>
          <w:i w:val="0"/>
          <w:iCs w:val="0"/>
          <w:color w:val="000000"/>
          <w:szCs w:val="20"/>
          <w:lang w:bidi="en-US"/>
        </w:rPr>
        <w:t xml:space="preserve"> HAC-15 cells were treated with 0.50 nM trabectedin for 6  days, then trabectedin was withdrawn from medium and cells were kept in culture for further 6 days.  Cell viability was analyzed by MTT assay. Results are expressed as percent of viable cells vs untreated cell ± SD; * p &lt; 0.0001 vs control; # p &lt; 0.001 vs control; ** p &lt; 0.01 vs control; ## p &lt; 0.0001 vs trabectedin-treated cells.</w:t>
      </w:r>
    </w:p>
    <w:p w14:paraId="1AF37AF1" w14:textId="77777777" w:rsidR="00146EF2" w:rsidRPr="00DF042E" w:rsidRDefault="00146EF2" w:rsidP="001556A1">
      <w:pPr>
        <w:pStyle w:val="Didascalia"/>
        <w:rPr>
          <w:rFonts w:ascii="Palatino Linotype" w:hAnsi="Palatino Linotype"/>
          <w:i w:val="0"/>
          <w:iCs w:val="0"/>
          <w:snapToGrid w:val="0"/>
          <w:color w:val="000000"/>
          <w:sz w:val="20"/>
          <w:szCs w:val="22"/>
          <w:lang w:bidi="en-US"/>
        </w:rPr>
      </w:pPr>
      <w:r w:rsidRPr="00DF042E">
        <w:rPr>
          <w:rFonts w:ascii="Palatino Linotype" w:hAnsi="Palatino Linotype"/>
          <w:i w:val="0"/>
          <w:iCs w:val="0"/>
          <w:snapToGrid w:val="0"/>
          <w:color w:val="000000"/>
          <w:sz w:val="20"/>
          <w:szCs w:val="22"/>
          <w:lang w:bidi="en-US"/>
        </w:rPr>
        <w:t>The cytotoxic effect of trabectedin induced DNA fragmentation (Supplemental Figure 1) and apoptotic cell death (Supplemental Figure 2). Cells were then plated and cultured in complete medium added with 0.15nM trabectedin, cell viability was assessed at 4 days of treatment, then the drug was withdrawn and cells were kept in drug-naive complete medium, to evaluate whether the trabectedin cytotoxic insult was a long-lasting effect. Results show that trabectedin treatment induced a cell damage that progressed also in the absence of the drug (Fig. 1B).</w:t>
      </w:r>
    </w:p>
    <w:p w14:paraId="09C03131" w14:textId="77777777" w:rsidR="001556A1" w:rsidRPr="00F12D7B" w:rsidRDefault="001556A1" w:rsidP="001556A1">
      <w:pPr>
        <w:pStyle w:val="MDPI22heading2"/>
        <w:jc w:val="center"/>
      </w:pPr>
    </w:p>
    <w:p w14:paraId="2D2BDCC6" w14:textId="77777777" w:rsidR="003F29A2" w:rsidRPr="00F12D7B" w:rsidRDefault="00146EF2" w:rsidP="00146EF2">
      <w:pPr>
        <w:pStyle w:val="MDPI22heading2"/>
        <w:jc w:val="both"/>
        <w:rPr>
          <w:i w:val="0"/>
          <w:noProof w:val="0"/>
        </w:rPr>
      </w:pPr>
      <w:r w:rsidRPr="00F12D7B">
        <w:rPr>
          <w:i w:val="0"/>
          <w:noProof w:val="0"/>
        </w:rPr>
        <w:lastRenderedPageBreak/>
        <w:t>The cytotoxic effect of trabectedin was then studied in other ACC experimental cell line models. As shown in Fig. 1, trabectedin exerted a cytotoxic effect in other ACC cell line models as well, although with different sensitivity, accordingly with their different phenotype, indeed, as indicated in the Methods,  HAC-15 is a subclone of NCI-H295R, while MUC-1 is a EDP-M resistant cell line recently established. Concentration-response curves of trabectedin in MUC-1 and HAC-15, are reported in Fig. 1C and 1E. Analysis of the curves allowed the evaluation of the respective IC50, which was 0.80 nM (95% CI:  0.77 - 0.83 nM) in MUC-1 cells, 0.50 nM (95% CI:  0.30 - 0. 82 nM) in HAC-15 cells. In line with results obtained in NCI-H295R cells, trabectedin induced a cell damage leading to cell death that continued in drug-withdrawn conditions (Fig. 1D, 1F). Supplemental Figure 3 reported results obtained with SW13 cells, which is of adrenal origin, but it has been suggested to be a small cell carcinoma. These cells are as well sensitive to the cytotoxic effect of trabectedin and the IC50 was 0.098 nM (95% CI: 0.0093 – 0.104 nM). When cells were exposed to the IC50 trabectedin for 3 days and then transferred in drug-free medium, the cytotoxic insult elicited by trabectedin induced cell death.</w:t>
      </w:r>
    </w:p>
    <w:p w14:paraId="06C165B6" w14:textId="77777777" w:rsidR="003F29A2" w:rsidRPr="00F12D7B" w:rsidRDefault="003F29A2" w:rsidP="00146EF2">
      <w:pPr>
        <w:pStyle w:val="MDPI22heading2"/>
        <w:jc w:val="both"/>
        <w:rPr>
          <w:i w:val="0"/>
          <w:noProof w:val="0"/>
        </w:rPr>
      </w:pPr>
    </w:p>
    <w:p w14:paraId="4467990F" w14:textId="77777777" w:rsidR="00146EF2" w:rsidRPr="00F12D7B" w:rsidRDefault="00146EF2" w:rsidP="00146EF2">
      <w:pPr>
        <w:pStyle w:val="MDPI22heading2"/>
      </w:pPr>
      <w:r w:rsidRPr="00F12D7B">
        <w:t>2.2. Trabectedin-induced cytotoxicity in ACC primary cell cultures</w:t>
      </w:r>
    </w:p>
    <w:p w14:paraId="5567B927" w14:textId="77777777" w:rsidR="00DF042E" w:rsidRDefault="00146EF2" w:rsidP="00FB0FF3">
      <w:pPr>
        <w:pStyle w:val="MDPI23heading3"/>
        <w:jc w:val="both"/>
      </w:pPr>
      <w:r w:rsidRPr="00F12D7B">
        <w:t xml:space="preserve">Primary cell cultures were prepared from tissue samples obtained from ACC patients who underwent surgery, as described in the Methods section. Trabectedin exerted a concentration-dependent reduction of human ACC primary cell viability (Fig. 2), however, as expected, due to the different patient tumor stage and tumor cell characteristics, ACC primary cells displayed a different drug sensitivity. </w:t>
      </w:r>
    </w:p>
    <w:p w14:paraId="0736EBCE" w14:textId="77777777" w:rsidR="00DF042E" w:rsidRDefault="00DF042E" w:rsidP="00DF042E">
      <w:pPr>
        <w:pStyle w:val="MDPI23heading3"/>
        <w:jc w:val="center"/>
      </w:pPr>
      <w:r w:rsidRPr="00DF042E">
        <w:rPr>
          <w:noProof/>
          <w:lang w:val="it-IT" w:eastAsia="it-IT" w:bidi="ar-SA"/>
        </w:rPr>
        <w:drawing>
          <wp:inline distT="0" distB="0" distL="0" distR="0" wp14:anchorId="126B3804" wp14:editId="36509DBD">
            <wp:extent cx="4779010" cy="2440940"/>
            <wp:effectExtent l="0" t="0" r="2540" b="0"/>
            <wp:docPr id="7" name="Immagine 7" descr="C:\Users\Giustina\Google Drive\Laboratorio_\Esperimenti\ACC\Trabectedina in ACC\Ms trabectedin\Cancers 30-01-20\Figures ok\Fig. 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iustina\Google Drive\Laboratorio_\Esperimenti\ACC\Trabectedina in ACC\Ms trabectedin\Cancers 30-01-20\Figures ok\Fig. 2.tif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79010" cy="2440940"/>
                    </a:xfrm>
                    <a:prstGeom prst="rect">
                      <a:avLst/>
                    </a:prstGeom>
                    <a:noFill/>
                    <a:ln>
                      <a:noFill/>
                    </a:ln>
                  </pic:spPr>
                </pic:pic>
              </a:graphicData>
            </a:graphic>
          </wp:inline>
        </w:drawing>
      </w:r>
    </w:p>
    <w:p w14:paraId="6101011F" w14:textId="77777777" w:rsidR="00DF042E" w:rsidRPr="00DF042E" w:rsidRDefault="00DF042E" w:rsidP="00FB0FF3">
      <w:pPr>
        <w:pStyle w:val="MDPI23heading3"/>
        <w:jc w:val="both"/>
        <w:rPr>
          <w:b/>
          <w:snapToGrid/>
          <w:sz w:val="18"/>
          <w:szCs w:val="20"/>
        </w:rPr>
      </w:pPr>
      <w:r w:rsidRPr="00DF042E">
        <w:rPr>
          <w:b/>
          <w:snapToGrid/>
          <w:sz w:val="18"/>
          <w:szCs w:val="20"/>
        </w:rPr>
        <w:t>Figure</w:t>
      </w:r>
      <w:r>
        <w:rPr>
          <w:b/>
          <w:snapToGrid/>
          <w:sz w:val="18"/>
          <w:szCs w:val="20"/>
        </w:rPr>
        <w:t xml:space="preserve"> 2</w:t>
      </w:r>
      <w:r w:rsidRPr="00DF042E">
        <w:rPr>
          <w:b/>
          <w:snapToGrid/>
          <w:sz w:val="18"/>
          <w:szCs w:val="20"/>
        </w:rPr>
        <w:t xml:space="preserve">. </w:t>
      </w:r>
      <w:r w:rsidRPr="00DF042E">
        <w:rPr>
          <w:snapToGrid/>
          <w:sz w:val="18"/>
          <w:szCs w:val="20"/>
        </w:rPr>
        <w:t xml:space="preserve">Cytotoxic effect of trabectedin in primary cell cultures derived from ACC patients. Cells were treated with increasing concentration of trabectedin (0.0625 nM – 0.75 nM) for four days. Cell viability was analyzed by MTT assay. Results are expressed as percent of viable cells vs untreated cells ± SD; ** p &lt; 0.001; *** p &lt; 0.0001.  </w:t>
      </w:r>
    </w:p>
    <w:p w14:paraId="7E94E071" w14:textId="77777777" w:rsidR="003A55A8" w:rsidRDefault="00146EF2" w:rsidP="00FB0FF3">
      <w:pPr>
        <w:pStyle w:val="MDPI23heading3"/>
        <w:jc w:val="both"/>
      </w:pPr>
      <w:r w:rsidRPr="00F12D7B">
        <w:t xml:space="preserve">Table </w:t>
      </w:r>
      <w:r w:rsidR="00CE1124">
        <w:t>1</w:t>
      </w:r>
      <w:r w:rsidRPr="00F12D7B">
        <w:t xml:space="preserve"> reports the in vitro efficacy of trabectedin in ACC primary cultures, measured as percentage of maximum cytotoxic effect, and the trabectedin IC50 for each cell culture. In particular, ACC03, ACC29 and ACC32 displayed the higher sensitivity, as the trabectedin-induced cytotoxicity was over 80% compared to untreated cells, with the IC50 that was within low nanomolar concentrations (range: 0.08 - 0.13 nM).</w:t>
      </w:r>
    </w:p>
    <w:p w14:paraId="30735B9E" w14:textId="77777777" w:rsidR="00CE1124" w:rsidRDefault="00CE1124" w:rsidP="00FB0FF3">
      <w:pPr>
        <w:pStyle w:val="MDPI23heading3"/>
        <w:jc w:val="both"/>
      </w:pPr>
    </w:p>
    <w:p w14:paraId="548E8CF2" w14:textId="77777777" w:rsidR="00CE1124" w:rsidRDefault="00CE1124" w:rsidP="00FB0FF3">
      <w:pPr>
        <w:pStyle w:val="MDPI23heading3"/>
        <w:jc w:val="both"/>
      </w:pPr>
    </w:p>
    <w:p w14:paraId="7BC203DD" w14:textId="77777777" w:rsidR="00CE1124" w:rsidRPr="00CE1124" w:rsidRDefault="00CE1124" w:rsidP="00CE1124">
      <w:pPr>
        <w:pStyle w:val="MDPI21heading1"/>
        <w:jc w:val="both"/>
        <w:rPr>
          <w:b w:val="0"/>
        </w:rPr>
      </w:pPr>
      <w:r>
        <w:rPr>
          <w:snapToGrid/>
          <w:sz w:val="18"/>
          <w:szCs w:val="20"/>
        </w:rPr>
        <w:lastRenderedPageBreak/>
        <w:t>Table 1</w:t>
      </w:r>
      <w:r w:rsidRPr="00DF042E">
        <w:rPr>
          <w:snapToGrid/>
          <w:sz w:val="18"/>
          <w:szCs w:val="20"/>
        </w:rPr>
        <w:t>.</w:t>
      </w:r>
      <w:r w:rsidRPr="00DF042E">
        <w:rPr>
          <w:b w:val="0"/>
          <w:snapToGrid/>
          <w:sz w:val="18"/>
          <w:szCs w:val="20"/>
        </w:rPr>
        <w:t xml:space="preserve"> </w:t>
      </w:r>
      <w:r w:rsidRPr="00CE1124">
        <w:rPr>
          <w:b w:val="0"/>
          <w:snapToGrid/>
          <w:sz w:val="18"/>
          <w:szCs w:val="20"/>
        </w:rPr>
        <w:t>Effects of trabe</w:t>
      </w:r>
      <w:r w:rsidR="003561BA">
        <w:rPr>
          <w:b w:val="0"/>
          <w:snapToGrid/>
          <w:sz w:val="18"/>
          <w:szCs w:val="20"/>
        </w:rPr>
        <w:t>ctedin in ACC primary cultures</w:t>
      </w:r>
      <w:r w:rsidRPr="00DF042E">
        <w:rPr>
          <w:b w:val="0"/>
          <w:snapToGrid/>
          <w:sz w:val="18"/>
          <w:szCs w:val="20"/>
        </w:rPr>
        <w:t>.</w:t>
      </w:r>
    </w:p>
    <w:tbl>
      <w:tblPr>
        <w:tblStyle w:val="Mdeck5tablebodythreelines"/>
        <w:tblW w:w="7860" w:type="dxa"/>
        <w:tblLook w:val="00A0" w:firstRow="1" w:lastRow="0" w:firstColumn="1" w:lastColumn="0" w:noHBand="0" w:noVBand="0"/>
      </w:tblPr>
      <w:tblGrid>
        <w:gridCol w:w="2054"/>
        <w:gridCol w:w="3611"/>
        <w:gridCol w:w="2195"/>
      </w:tblGrid>
      <w:tr w:rsidR="00CE1124" w:rsidRPr="002606AC" w14:paraId="52E5D8F8" w14:textId="77777777" w:rsidTr="00CE1124">
        <w:trPr>
          <w:cnfStyle w:val="100000000000" w:firstRow="1" w:lastRow="0" w:firstColumn="0" w:lastColumn="0" w:oddVBand="0" w:evenVBand="0" w:oddHBand="0" w:evenHBand="0" w:firstRowFirstColumn="0" w:firstRowLastColumn="0" w:lastRowFirstColumn="0" w:lastRowLastColumn="0"/>
          <w:trHeight w:val="253"/>
        </w:trPr>
        <w:tc>
          <w:tcPr>
            <w:tcW w:w="2054" w:type="dxa"/>
          </w:tcPr>
          <w:p w14:paraId="5D1B4153"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Primary culture identification</w:t>
            </w:r>
          </w:p>
        </w:tc>
        <w:tc>
          <w:tcPr>
            <w:tcW w:w="3611" w:type="dxa"/>
          </w:tcPr>
          <w:p w14:paraId="79A5F9B8"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IC50  (95% confidence interval)</w:t>
            </w:r>
          </w:p>
        </w:tc>
        <w:tc>
          <w:tcPr>
            <w:tcW w:w="2195" w:type="dxa"/>
            <w:hideMark/>
          </w:tcPr>
          <w:p w14:paraId="6F6A0F9C"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Maximum effect</w:t>
            </w:r>
          </w:p>
        </w:tc>
      </w:tr>
      <w:tr w:rsidR="00CE1124" w:rsidRPr="002606AC" w14:paraId="07C43864" w14:textId="77777777" w:rsidTr="00CE1124">
        <w:trPr>
          <w:trHeight w:val="290"/>
        </w:trPr>
        <w:tc>
          <w:tcPr>
            <w:tcW w:w="2054" w:type="dxa"/>
            <w:hideMark/>
          </w:tcPr>
          <w:p w14:paraId="56C18154"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ACC03</w:t>
            </w:r>
          </w:p>
        </w:tc>
        <w:tc>
          <w:tcPr>
            <w:tcW w:w="3611" w:type="dxa"/>
          </w:tcPr>
          <w:p w14:paraId="588B482F"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0.13 nM (0.12 nM to 0.14 nM)</w:t>
            </w:r>
          </w:p>
        </w:tc>
        <w:tc>
          <w:tcPr>
            <w:tcW w:w="2195" w:type="dxa"/>
            <w:hideMark/>
          </w:tcPr>
          <w:p w14:paraId="725D16A7"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92 ± 0.63%</w:t>
            </w:r>
          </w:p>
          <w:p w14:paraId="783AEDDD"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2606AC" w14:paraId="062519FA" w14:textId="77777777" w:rsidTr="00CE1124">
        <w:trPr>
          <w:trHeight w:val="303"/>
        </w:trPr>
        <w:tc>
          <w:tcPr>
            <w:tcW w:w="2054" w:type="dxa"/>
          </w:tcPr>
          <w:p w14:paraId="0DB4069C"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ACC06-I</w:t>
            </w:r>
          </w:p>
        </w:tc>
        <w:tc>
          <w:tcPr>
            <w:tcW w:w="3611" w:type="dxa"/>
          </w:tcPr>
          <w:p w14:paraId="4E6E3D94"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ambiguous</w:t>
            </w:r>
          </w:p>
        </w:tc>
        <w:tc>
          <w:tcPr>
            <w:tcW w:w="2195" w:type="dxa"/>
          </w:tcPr>
          <w:p w14:paraId="763D255D"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57 ± 11.8%</w:t>
            </w:r>
          </w:p>
          <w:p w14:paraId="22CF4F62"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2606AC" w14:paraId="1445ACA8" w14:textId="77777777" w:rsidTr="00CE1124">
        <w:trPr>
          <w:trHeight w:val="303"/>
        </w:trPr>
        <w:tc>
          <w:tcPr>
            <w:tcW w:w="2054" w:type="dxa"/>
          </w:tcPr>
          <w:p w14:paraId="58624836"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ACC24-I</w:t>
            </w:r>
          </w:p>
        </w:tc>
        <w:tc>
          <w:tcPr>
            <w:tcW w:w="3611" w:type="dxa"/>
          </w:tcPr>
          <w:p w14:paraId="4D7928E4"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0.13 nM (0.10 nM to 0.17 nM)</w:t>
            </w:r>
          </w:p>
        </w:tc>
        <w:tc>
          <w:tcPr>
            <w:tcW w:w="2195" w:type="dxa"/>
          </w:tcPr>
          <w:p w14:paraId="3C229489"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41 ± 8.2%</w:t>
            </w:r>
          </w:p>
          <w:p w14:paraId="15A92037"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741C695B" w14:textId="77777777" w:rsidTr="00CE1124">
        <w:trPr>
          <w:trHeight w:val="303"/>
        </w:trPr>
        <w:tc>
          <w:tcPr>
            <w:tcW w:w="2054" w:type="dxa"/>
          </w:tcPr>
          <w:p w14:paraId="4FFD783B"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ACC29</w:t>
            </w:r>
          </w:p>
        </w:tc>
        <w:tc>
          <w:tcPr>
            <w:tcW w:w="3611" w:type="dxa"/>
          </w:tcPr>
          <w:p w14:paraId="49FA490C"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0.053 nM (0.048 nM to 0.58 nM)</w:t>
            </w:r>
          </w:p>
        </w:tc>
        <w:tc>
          <w:tcPr>
            <w:tcW w:w="2195" w:type="dxa"/>
          </w:tcPr>
          <w:p w14:paraId="21D1347E"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77.2 ± 0.5%</w:t>
            </w:r>
          </w:p>
          <w:p w14:paraId="71D78529"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117888F0" w14:textId="77777777" w:rsidTr="00CE1124">
        <w:trPr>
          <w:trHeight w:val="303"/>
        </w:trPr>
        <w:tc>
          <w:tcPr>
            <w:tcW w:w="2054" w:type="dxa"/>
          </w:tcPr>
          <w:p w14:paraId="0102C4D2"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ACC32</w:t>
            </w:r>
          </w:p>
        </w:tc>
        <w:tc>
          <w:tcPr>
            <w:tcW w:w="3611" w:type="dxa"/>
          </w:tcPr>
          <w:p w14:paraId="62454A09"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0.11 nM (0.087 nM to 0.13 nM)</w:t>
            </w:r>
          </w:p>
        </w:tc>
        <w:tc>
          <w:tcPr>
            <w:tcW w:w="2195" w:type="dxa"/>
          </w:tcPr>
          <w:p w14:paraId="17361962"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88.6 ± 4.9%</w:t>
            </w:r>
          </w:p>
        </w:tc>
      </w:tr>
    </w:tbl>
    <w:p w14:paraId="582A2BD7" w14:textId="77777777" w:rsidR="003F29A2" w:rsidRPr="00F12D7B" w:rsidRDefault="003F29A2" w:rsidP="00FB0FF3">
      <w:pPr>
        <w:pStyle w:val="MDPI23heading3"/>
        <w:jc w:val="both"/>
      </w:pPr>
    </w:p>
    <w:p w14:paraId="64E0A9F9" w14:textId="77777777" w:rsidR="00FB0FF3" w:rsidRPr="00F12D7B" w:rsidRDefault="00FB0FF3" w:rsidP="00FB0FF3">
      <w:pPr>
        <w:pStyle w:val="MDPI22heading2"/>
      </w:pPr>
      <w:r w:rsidRPr="00F12D7B">
        <w:t>2.3. Trabectedin enhanced cytotoxicity induced by mitotane in NCI-H295R cell line</w:t>
      </w:r>
    </w:p>
    <w:p w14:paraId="19E5B19E" w14:textId="77777777" w:rsidR="00DF042E" w:rsidRDefault="00FB0FF3" w:rsidP="00FB0FF3">
      <w:pPr>
        <w:pStyle w:val="MDPI23heading3"/>
        <w:jc w:val="both"/>
      </w:pPr>
      <w:r w:rsidRPr="00F12D7B">
        <w:t xml:space="preserve">As mitotane is the reference drug for the treatment of ACC, to evaluate whether trabectedin could enhance the cytotoxicity of mitotane in NCI-H295R cells, a combined treatment was performed, applying the Chou-Talalay approach (Fig. 3). </w:t>
      </w:r>
    </w:p>
    <w:p w14:paraId="1BDBAD0D" w14:textId="77777777" w:rsidR="00DF042E" w:rsidRDefault="00DF042E" w:rsidP="00DF042E">
      <w:pPr>
        <w:pStyle w:val="MDPI23heading3"/>
        <w:jc w:val="center"/>
      </w:pPr>
      <w:r w:rsidRPr="00DF042E">
        <w:rPr>
          <w:noProof/>
          <w:lang w:val="it-IT" w:eastAsia="it-IT" w:bidi="ar-SA"/>
        </w:rPr>
        <w:drawing>
          <wp:inline distT="0" distB="0" distL="0" distR="0" wp14:anchorId="4DC01C8C" wp14:editId="5E140C3C">
            <wp:extent cx="4970090" cy="1757239"/>
            <wp:effectExtent l="0" t="0" r="2540" b="0"/>
            <wp:docPr id="8" name="Immagine 8" descr="C:\Users\Giustina\Google Drive\Laboratorio_\Esperimenti\ACC\Trabectedina in ACC\Ms trabectedin\Cancers 30-01-20\Figures ok\Fig.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iustina\Google Drive\Laboratorio_\Esperimenti\ACC\Trabectedina in ACC\Ms trabectedin\Cancers 30-01-20\Figures ok\Fig. 3.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82775" cy="1761724"/>
                    </a:xfrm>
                    <a:prstGeom prst="rect">
                      <a:avLst/>
                    </a:prstGeom>
                    <a:noFill/>
                    <a:ln>
                      <a:noFill/>
                    </a:ln>
                  </pic:spPr>
                </pic:pic>
              </a:graphicData>
            </a:graphic>
          </wp:inline>
        </w:drawing>
      </w:r>
    </w:p>
    <w:p w14:paraId="558A9D78" w14:textId="77777777" w:rsidR="00DF042E" w:rsidRDefault="00DF042E" w:rsidP="00FB0FF3">
      <w:pPr>
        <w:pStyle w:val="MDPI23heading3"/>
        <w:jc w:val="both"/>
      </w:pPr>
      <w:r w:rsidRPr="00DF042E">
        <w:rPr>
          <w:b/>
          <w:snapToGrid/>
          <w:sz w:val="18"/>
          <w:szCs w:val="20"/>
        </w:rPr>
        <w:t>Figure</w:t>
      </w:r>
      <w:r>
        <w:rPr>
          <w:b/>
          <w:snapToGrid/>
          <w:sz w:val="18"/>
          <w:szCs w:val="20"/>
        </w:rPr>
        <w:t xml:space="preserve"> 3</w:t>
      </w:r>
      <w:r w:rsidRPr="00DF042E">
        <w:rPr>
          <w:b/>
          <w:snapToGrid/>
          <w:sz w:val="18"/>
          <w:szCs w:val="20"/>
        </w:rPr>
        <w:t xml:space="preserve">. </w:t>
      </w:r>
      <w:r w:rsidRPr="00DF042E">
        <w:rPr>
          <w:snapToGrid/>
          <w:sz w:val="18"/>
          <w:szCs w:val="20"/>
        </w:rPr>
        <w:t xml:space="preserve">Effect of the trabectedin/mitotane combination on NCI-H295R cell viability. Cells were treated with increasing concentrations of trabectedin and mitotane alone or in combination at fixed concentration molar ratio (trabectedin: mitotane; 1: 10000 molar ratio, for 4 days. Cell viability was measured by MTT. </w:t>
      </w:r>
      <w:r w:rsidRPr="00DF042E">
        <w:rPr>
          <w:b/>
          <w:snapToGrid/>
          <w:sz w:val="18"/>
          <w:szCs w:val="20"/>
        </w:rPr>
        <w:t>(A)</w:t>
      </w:r>
      <w:r w:rsidRPr="00DF042E">
        <w:rPr>
          <w:snapToGrid/>
          <w:sz w:val="18"/>
          <w:szCs w:val="20"/>
        </w:rPr>
        <w:t xml:space="preserve"> Concentration-response curves. Cells were exposed to increasing concentrations of trabectedin and mitotane alone or in combination at fixed concentration trabectedin : mitotane =  1:10.000 molar ratio. Results are expressed as percent of viable cells vs untreated cell ± SD. </w:t>
      </w:r>
      <w:r w:rsidRPr="00DF042E">
        <w:rPr>
          <w:b/>
          <w:snapToGrid/>
          <w:sz w:val="18"/>
          <w:szCs w:val="20"/>
        </w:rPr>
        <w:t>(B)</w:t>
      </w:r>
      <w:r w:rsidRPr="00DF042E">
        <w:rPr>
          <w:snapToGrid/>
          <w:sz w:val="18"/>
          <w:szCs w:val="20"/>
        </w:rPr>
        <w:t xml:space="preserve"> Combination Index plot. Dose and effect data obtained were converted to Fa values and analyzed with CompuSyn software. #p &lt; 0.01; *** p &lt; 0.0001.  </w:t>
      </w:r>
    </w:p>
    <w:p w14:paraId="41C7E4F4" w14:textId="77777777" w:rsidR="00CE1124" w:rsidRDefault="00FB0FF3" w:rsidP="00FB0FF3">
      <w:pPr>
        <w:pStyle w:val="MDPI23heading3"/>
        <w:jc w:val="both"/>
      </w:pPr>
      <w:r w:rsidRPr="00F12D7B">
        <w:t>The concentration-response of each drug and of the combined treatment is reported in Fig.3A. The trabectedin/mitotane combined treatment in NCI-H295R cells induced a synergistic cytotoxic effect compared to each single compound. Results obtained were converted to Fa values and analyzed with CompuSyn software and the Combination Index plot, showing the synergistic effect was shown in Fig. 3B. The Combination Index value is &lt;1 at each drug combination tested, thus suggesting a mainly synergic effect.</w:t>
      </w:r>
    </w:p>
    <w:p w14:paraId="2CA72EBF" w14:textId="77777777" w:rsidR="00CE1124" w:rsidRDefault="00CE1124" w:rsidP="00FB0FF3">
      <w:pPr>
        <w:pStyle w:val="MDPI23heading3"/>
        <w:jc w:val="both"/>
      </w:pPr>
    </w:p>
    <w:p w14:paraId="24B92184" w14:textId="77777777" w:rsidR="00CE1124" w:rsidRPr="00F12D7B" w:rsidRDefault="00CE1124" w:rsidP="00FB0FF3">
      <w:pPr>
        <w:pStyle w:val="MDPI23heading3"/>
        <w:jc w:val="both"/>
      </w:pPr>
    </w:p>
    <w:p w14:paraId="6D478D68" w14:textId="77777777" w:rsidR="00FB0FF3" w:rsidRPr="00F12D7B" w:rsidRDefault="00FB0FF3" w:rsidP="00FB0FF3">
      <w:pPr>
        <w:pStyle w:val="MDPI22heading2"/>
      </w:pPr>
      <w:r w:rsidRPr="00F12D7B">
        <w:t>2.4. Trabectedin affects β-catenin localization in NCI-H295R cell line</w:t>
      </w:r>
    </w:p>
    <w:p w14:paraId="6D08C16B" w14:textId="54B4DBA2" w:rsidR="00DF042E" w:rsidRDefault="00FB0FF3" w:rsidP="00FB0FF3">
      <w:pPr>
        <w:pStyle w:val="MDPI23heading3"/>
        <w:jc w:val="both"/>
      </w:pPr>
      <w:r w:rsidRPr="00F12D7B">
        <w:lastRenderedPageBreak/>
        <w:t>It has been shown in the cholangiocarcinoma model that the Wnt/β catenin pathway could be a target of trabectedin [</w:t>
      </w:r>
      <w:r w:rsidR="008B50A0">
        <w:t>14</w:t>
      </w:r>
      <w:r w:rsidRPr="00F12D7B">
        <w:t xml:space="preserve">]. Based on these findings, we investigated whether trabectedin could influence β-catenin expression and function in NCI-H29R cells. Western blots </w:t>
      </w:r>
      <w:r w:rsidR="00885FB5">
        <w:t xml:space="preserve">(Supplemental Fig. 4) </w:t>
      </w:r>
      <w:r w:rsidRPr="00F12D7B">
        <w:t>were performed on trabectedin-exposed NCI-H295R cells and results demonstrated that the total protein expression of β-catenin was not modified by drug exposure (Fig. 4A), while, when the nuclear/cytoplasm subcellular localization was investigated,  we observed that after 3 days of  trabectedin treatment at its IC50 value, the β-catenin nuclear concentration was reduced by 44 ± 7.3% in treated  cells compared to vehicle-treated cells. (Fig. 4B).</w:t>
      </w:r>
    </w:p>
    <w:p w14:paraId="03F122C8" w14:textId="77777777" w:rsidR="00DF042E" w:rsidRDefault="00DF042E" w:rsidP="00DF042E">
      <w:pPr>
        <w:pStyle w:val="MDPI23heading3"/>
        <w:jc w:val="center"/>
      </w:pPr>
      <w:r w:rsidRPr="00DF042E">
        <w:rPr>
          <w:noProof/>
          <w:lang w:val="it-IT" w:eastAsia="it-IT" w:bidi="ar-SA"/>
        </w:rPr>
        <w:drawing>
          <wp:inline distT="0" distB="0" distL="0" distR="0" wp14:anchorId="422650C8" wp14:editId="52F5F394">
            <wp:extent cx="3753016" cy="2766865"/>
            <wp:effectExtent l="0" t="0" r="0" b="0"/>
            <wp:docPr id="9" name="Immagine 9" descr="C:\Users\Giustina\Google Drive\Laboratorio_\Esperimenti\ACC\Trabectedina in ACC\Ms trabectedin\Cancers 30-01-20\Figures ok\Fig.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iustina\Google Drive\Laboratorio_\Esperimenti\ACC\Trabectedina in ACC\Ms trabectedin\Cancers 30-01-20\Figures ok\Fig. 4.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60148" cy="2772123"/>
                    </a:xfrm>
                    <a:prstGeom prst="rect">
                      <a:avLst/>
                    </a:prstGeom>
                    <a:noFill/>
                    <a:ln>
                      <a:noFill/>
                    </a:ln>
                  </pic:spPr>
                </pic:pic>
              </a:graphicData>
            </a:graphic>
          </wp:inline>
        </w:drawing>
      </w:r>
    </w:p>
    <w:p w14:paraId="54CFFE57" w14:textId="395AB6A9" w:rsidR="00DF042E" w:rsidRDefault="00DF042E" w:rsidP="00DF042E">
      <w:pPr>
        <w:pStyle w:val="MDPI23heading3"/>
        <w:jc w:val="both"/>
      </w:pPr>
      <w:r w:rsidRPr="00DF042E">
        <w:rPr>
          <w:b/>
          <w:snapToGrid/>
          <w:sz w:val="18"/>
          <w:szCs w:val="20"/>
        </w:rPr>
        <w:t>Figure</w:t>
      </w:r>
      <w:r>
        <w:rPr>
          <w:b/>
          <w:snapToGrid/>
          <w:sz w:val="18"/>
          <w:szCs w:val="20"/>
        </w:rPr>
        <w:t xml:space="preserve"> 4</w:t>
      </w:r>
      <w:r w:rsidRPr="00DF042E">
        <w:rPr>
          <w:b/>
          <w:snapToGrid/>
          <w:sz w:val="18"/>
          <w:szCs w:val="20"/>
        </w:rPr>
        <w:t xml:space="preserve">. </w:t>
      </w:r>
      <w:r w:rsidRPr="00DF042E">
        <w:rPr>
          <w:snapToGrid/>
          <w:sz w:val="18"/>
          <w:szCs w:val="20"/>
        </w:rPr>
        <w:t xml:space="preserve">Effect of trabectedin on the </w:t>
      </w:r>
      <w:r w:rsidR="00623930" w:rsidRPr="000B038C">
        <w:rPr>
          <w:snapToGrid/>
          <w:sz w:val="18"/>
          <w:szCs w:val="20"/>
        </w:rPr>
        <w:t>β</w:t>
      </w:r>
      <w:r w:rsidR="00623930" w:rsidRPr="00DF042E" w:rsidDel="00623930">
        <w:rPr>
          <w:snapToGrid/>
          <w:sz w:val="18"/>
          <w:szCs w:val="20"/>
        </w:rPr>
        <w:t xml:space="preserve"> </w:t>
      </w:r>
      <w:r w:rsidRPr="00DF042E">
        <w:rPr>
          <w:snapToGrid/>
          <w:sz w:val="18"/>
          <w:szCs w:val="20"/>
        </w:rPr>
        <w:t xml:space="preserve">-catenin expression by western blot (WB) technique. NCI-H295R cells were exposed to 0.15 nM of trabectedin for 3 days. </w:t>
      </w:r>
      <w:r w:rsidRPr="00DF042E">
        <w:rPr>
          <w:b/>
          <w:snapToGrid/>
          <w:sz w:val="18"/>
          <w:szCs w:val="20"/>
        </w:rPr>
        <w:t>(A)</w:t>
      </w:r>
      <w:r w:rsidRPr="00DF042E">
        <w:rPr>
          <w:snapToGrid/>
          <w:sz w:val="18"/>
          <w:szCs w:val="20"/>
        </w:rPr>
        <w:t xml:space="preserve"> A representative WB on total lysate is shown. </w:t>
      </w:r>
      <w:r w:rsidRPr="00DF042E">
        <w:rPr>
          <w:b/>
          <w:snapToGrid/>
          <w:sz w:val="18"/>
          <w:szCs w:val="20"/>
        </w:rPr>
        <w:t>(B)</w:t>
      </w:r>
      <w:r w:rsidRPr="00DF042E">
        <w:rPr>
          <w:snapToGrid/>
          <w:sz w:val="18"/>
          <w:szCs w:val="20"/>
        </w:rPr>
        <w:t xml:space="preserve"> A representative WB on nuclear protein fraction is shown. * p &lt; 0.01.  </w:t>
      </w:r>
    </w:p>
    <w:p w14:paraId="4A5D2579" w14:textId="6B61A3AD" w:rsidR="008B50A0" w:rsidRDefault="00FB0FF3" w:rsidP="00FB0FF3">
      <w:pPr>
        <w:pStyle w:val="MDPI23heading3"/>
        <w:jc w:val="both"/>
      </w:pPr>
      <w:r w:rsidRPr="00F12D7B">
        <w:t xml:space="preserve">Representative figure of subfraction proteins is reported in Supplemental Fig. </w:t>
      </w:r>
      <w:r w:rsidR="00885FB5">
        <w:t>5</w:t>
      </w:r>
      <w:r w:rsidRPr="00F12D7B">
        <w:t xml:space="preserve">. Furthermore, immunocytochemistry experiments performed in the NCI-H295R cells and reported in Fig. 5 indicate that after </w:t>
      </w:r>
      <w:r w:rsidR="00885FB5">
        <w:t xml:space="preserve">72 hours of </w:t>
      </w:r>
      <w:r w:rsidRPr="00F12D7B">
        <w:t>trabectedin treatment, the co-localization of β-catenin with the constitutive proteasome subunit PSMB5 was increased, thus suggesting that the drug induced a translocation of β-catenin from the nucleus to the cytoplasm, in particular to the proteasome, leading to its degradation. Indeed, β-catenin translocation from nucleus to cytoplasm is necessary to turning off its transcription-factor activity and to direct the protein to proteasomal degradation [</w:t>
      </w:r>
      <w:r w:rsidR="00641156" w:rsidRPr="00F12D7B">
        <w:t>15</w:t>
      </w:r>
      <w:r w:rsidRPr="00F12D7B">
        <w:t xml:space="preserve">]. </w:t>
      </w:r>
      <w:r w:rsidR="008B50A0">
        <w:t xml:space="preserve">A time course is shown in </w:t>
      </w:r>
      <w:r w:rsidR="009D71E8">
        <w:t>Supplemental</w:t>
      </w:r>
      <w:r w:rsidR="008B50A0">
        <w:t xml:space="preserve"> Figure 6</w:t>
      </w:r>
      <w:r w:rsidR="008C0D81">
        <w:t>.</w:t>
      </w:r>
    </w:p>
    <w:p w14:paraId="727372F0" w14:textId="1BD114EB" w:rsidR="00DF042E" w:rsidRPr="000B038C" w:rsidRDefault="002071A5" w:rsidP="00DF042E">
      <w:pPr>
        <w:pStyle w:val="MDPI23heading3"/>
        <w:jc w:val="center"/>
        <w:rPr>
          <w:lang w:val="it-IT"/>
        </w:rPr>
      </w:pPr>
      <w:r>
        <w:rPr>
          <w:noProof/>
          <w:snapToGrid/>
          <w:lang w:val="it-IT"/>
        </w:rPr>
        <w:lastRenderedPageBreak/>
        <w:drawing>
          <wp:inline distT="0" distB="0" distL="0" distR="0" wp14:anchorId="572F3C26" wp14:editId="0A87EBF2">
            <wp:extent cx="5754259" cy="298969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5 revised.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55454" cy="2990311"/>
                    </a:xfrm>
                    <a:prstGeom prst="rect">
                      <a:avLst/>
                    </a:prstGeom>
                  </pic:spPr>
                </pic:pic>
              </a:graphicData>
            </a:graphic>
          </wp:inline>
        </w:drawing>
      </w:r>
    </w:p>
    <w:p w14:paraId="520D552D" w14:textId="77777777" w:rsidR="00FB0FF3" w:rsidRDefault="00DF042E" w:rsidP="00FB0FF3">
      <w:pPr>
        <w:pStyle w:val="MDPI23heading3"/>
        <w:jc w:val="both"/>
      </w:pPr>
      <w:r w:rsidRPr="00DF042E">
        <w:rPr>
          <w:b/>
          <w:snapToGrid/>
          <w:sz w:val="18"/>
          <w:szCs w:val="20"/>
        </w:rPr>
        <w:t>Figure</w:t>
      </w:r>
      <w:r>
        <w:rPr>
          <w:b/>
          <w:snapToGrid/>
          <w:sz w:val="18"/>
          <w:szCs w:val="20"/>
        </w:rPr>
        <w:t xml:space="preserve"> 5</w:t>
      </w:r>
      <w:r w:rsidRPr="00DF042E">
        <w:rPr>
          <w:b/>
          <w:snapToGrid/>
          <w:sz w:val="18"/>
          <w:szCs w:val="20"/>
        </w:rPr>
        <w:t xml:space="preserve">. </w:t>
      </w:r>
      <w:r w:rsidRPr="00DF042E">
        <w:rPr>
          <w:snapToGrid/>
          <w:sz w:val="18"/>
          <w:szCs w:val="20"/>
        </w:rPr>
        <w:t xml:space="preserve">Trabectedin exposure affects the subcellular localization of β-catenin in NCIH295R cells.  Cells were treated with 0.15 nM trabectedin for 3 days. Untreated </w:t>
      </w:r>
      <w:r w:rsidRPr="00DF042E">
        <w:rPr>
          <w:b/>
          <w:snapToGrid/>
          <w:sz w:val="18"/>
          <w:szCs w:val="20"/>
        </w:rPr>
        <w:t>(A)</w:t>
      </w:r>
      <w:r w:rsidRPr="00DF042E">
        <w:rPr>
          <w:snapToGrid/>
          <w:sz w:val="18"/>
          <w:szCs w:val="20"/>
        </w:rPr>
        <w:t xml:space="preserve"> and trabectedin </w:t>
      </w:r>
      <w:r w:rsidRPr="00DF042E">
        <w:rPr>
          <w:b/>
          <w:snapToGrid/>
          <w:sz w:val="18"/>
          <w:szCs w:val="20"/>
        </w:rPr>
        <w:t>(B)</w:t>
      </w:r>
      <w:r w:rsidRPr="00DF042E">
        <w:rPr>
          <w:snapToGrid/>
          <w:sz w:val="18"/>
          <w:szCs w:val="20"/>
        </w:rPr>
        <w:t xml:space="preserve"> treated cells were analyzed for β-catenin localization following by incubation with Hoechst for nuclear staining. Panels a, e: Hoechst; panels b, f: β-catenin; panels c, g: constitutive proteasome subunit PSMB5; panels d, h: merge. The scale bar of 50 µm is automatically inserted by the software ZEN Black.</w:t>
      </w:r>
    </w:p>
    <w:p w14:paraId="64898014" w14:textId="77777777" w:rsidR="00DF042E" w:rsidRPr="00F12D7B" w:rsidRDefault="00DF042E" w:rsidP="00FB0FF3">
      <w:pPr>
        <w:pStyle w:val="MDPI23heading3"/>
        <w:jc w:val="both"/>
      </w:pPr>
    </w:p>
    <w:p w14:paraId="0A036C37" w14:textId="77777777" w:rsidR="00FB0FF3" w:rsidRPr="00F12D7B" w:rsidRDefault="00FB0FF3" w:rsidP="00FB0FF3">
      <w:pPr>
        <w:pStyle w:val="MDPI22heading2"/>
      </w:pPr>
      <w:r w:rsidRPr="00F12D7B">
        <w:t>2.5. Trabectedin affects the expression of β-catenin target genes</w:t>
      </w:r>
    </w:p>
    <w:p w14:paraId="405B3181" w14:textId="77777777" w:rsidR="00DF042E" w:rsidRPr="00F12D7B" w:rsidRDefault="00FB0FF3" w:rsidP="00FB0FF3">
      <w:pPr>
        <w:pStyle w:val="MDPI23heading3"/>
        <w:jc w:val="both"/>
      </w:pPr>
      <w:r w:rsidRPr="00F12D7B">
        <w:t>Whether the reduction of β-catenin nuclear localization can affect the  gene expression regulator was investigated taking advance of the specific Wnt\ β-catenin  pathway signaling RT2 profiler array, as described in Methods. Representative genes modified by trabectedin treatment were then validated by  qRT-PCR analysis in vehicle-treated and trabectedin-treated NCI-H295R  cells. In particular, we selected target genes among those which are known to be critical in cancer development, namely  TCF7, DKK1,  WISP1, MYCC and SOX17. Trabectedin exposure significantly increased the expression of genes that encode proteins involved in the reduction of Wnt activity, i.e. CTNNBIP1, DKK1,  SOX17, while the protoncogene MYCC and genes activating the  Wnt pathway, namely TCF7 and WISP1 are significantly reduced in NCI-H295R cells after exposure to trabectedin (Fig. 6).</w:t>
      </w:r>
    </w:p>
    <w:p w14:paraId="0586EC32" w14:textId="77777777" w:rsidR="003F29A2" w:rsidRDefault="00DF042E" w:rsidP="00DF042E">
      <w:pPr>
        <w:pStyle w:val="MDPI23heading3"/>
        <w:jc w:val="center"/>
      </w:pPr>
      <w:r w:rsidRPr="00DF042E">
        <w:rPr>
          <w:noProof/>
          <w:lang w:val="it-IT" w:eastAsia="it-IT" w:bidi="ar-SA"/>
        </w:rPr>
        <w:drawing>
          <wp:inline distT="0" distB="0" distL="0" distR="0" wp14:anchorId="20924E50" wp14:editId="27D32184">
            <wp:extent cx="3466769" cy="2306487"/>
            <wp:effectExtent l="0" t="0" r="635" b="0"/>
            <wp:docPr id="11" name="Immagine 11" descr="C:\Users\Giustina\Google Drive\Laboratorio_\Esperimenti\ACC\Trabectedina in ACC\Ms trabectedin\Cancers 30-01-20\Figures ok\Fig. 6.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iustina\Google Drive\Laboratorio_\Esperimenti\ACC\Trabectedina in ACC\Ms trabectedin\Cancers 30-01-20\Figures ok\Fig. 6.tif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76463" cy="2312936"/>
                    </a:xfrm>
                    <a:prstGeom prst="rect">
                      <a:avLst/>
                    </a:prstGeom>
                    <a:noFill/>
                    <a:ln>
                      <a:noFill/>
                    </a:ln>
                  </pic:spPr>
                </pic:pic>
              </a:graphicData>
            </a:graphic>
          </wp:inline>
        </w:drawing>
      </w:r>
    </w:p>
    <w:p w14:paraId="241FF4D6" w14:textId="77777777" w:rsidR="00DF042E" w:rsidRDefault="00DF042E" w:rsidP="00DF042E">
      <w:pPr>
        <w:pStyle w:val="MDPI23heading3"/>
        <w:jc w:val="both"/>
      </w:pPr>
      <w:r w:rsidRPr="00DF042E">
        <w:rPr>
          <w:b/>
          <w:snapToGrid/>
          <w:sz w:val="18"/>
          <w:szCs w:val="20"/>
        </w:rPr>
        <w:lastRenderedPageBreak/>
        <w:t>Figure</w:t>
      </w:r>
      <w:r>
        <w:rPr>
          <w:b/>
          <w:snapToGrid/>
          <w:sz w:val="18"/>
          <w:szCs w:val="20"/>
        </w:rPr>
        <w:t xml:space="preserve"> 6</w:t>
      </w:r>
      <w:r w:rsidRPr="00DF042E">
        <w:rPr>
          <w:b/>
          <w:snapToGrid/>
          <w:sz w:val="18"/>
          <w:szCs w:val="20"/>
        </w:rPr>
        <w:t xml:space="preserve">. </w:t>
      </w:r>
      <w:r w:rsidRPr="00DF042E">
        <w:rPr>
          <w:snapToGrid/>
          <w:sz w:val="18"/>
          <w:szCs w:val="20"/>
        </w:rPr>
        <w:t>Validation of selected Wnt/ β-catenin pathway by qRT-PCR in trabectedin-treated NCI-H295R  cells. RNA was extracted and retro-transcribed as described in Materials and methods. Genes were measured by q-RT-PCR, using SYBR Green as fluorochrome. Results are presented as fold change ± SEM; * p &lt; 0.01; ** p &lt; 0.05; *** p &lt; 0.001.</w:t>
      </w:r>
    </w:p>
    <w:p w14:paraId="790071D5" w14:textId="77777777" w:rsidR="00CE1124" w:rsidRDefault="00CE1124" w:rsidP="003A55A8">
      <w:pPr>
        <w:pStyle w:val="MDPI21heading1"/>
        <w:rPr>
          <w:b w:val="0"/>
        </w:rPr>
      </w:pPr>
    </w:p>
    <w:p w14:paraId="211BEC25" w14:textId="77777777" w:rsidR="003A55A8" w:rsidRPr="00F12D7B" w:rsidRDefault="003A55A8" w:rsidP="003A55A8">
      <w:pPr>
        <w:pStyle w:val="MDPI21heading1"/>
      </w:pPr>
      <w:r w:rsidRPr="00F12D7B">
        <w:t>3. Discussion</w:t>
      </w:r>
    </w:p>
    <w:p w14:paraId="473F1358" w14:textId="77777777" w:rsidR="00F864D7" w:rsidRPr="00F12D7B" w:rsidRDefault="00F864D7" w:rsidP="00F864D7">
      <w:pPr>
        <w:pStyle w:val="MDPI21heading1"/>
        <w:jc w:val="both"/>
        <w:rPr>
          <w:b w:val="0"/>
        </w:rPr>
      </w:pPr>
      <w:r w:rsidRPr="00F12D7B">
        <w:rPr>
          <w:b w:val="0"/>
        </w:rPr>
        <w:t>Trabectedin displays a manifold mechanism of action, which impacts on tumor cell biology and tumor microenvironment. The alkylating activity together with the inhibition of transcription, due to the interaction with the RNA polymerase II and DNA repair proteins, appear to be the hallmarks of the antiproliferative activity of this drug [</w:t>
      </w:r>
      <w:r w:rsidR="00641156" w:rsidRPr="00F12D7B">
        <w:rPr>
          <w:b w:val="0"/>
        </w:rPr>
        <w:t>16</w:t>
      </w:r>
      <w:r w:rsidRPr="00F12D7B">
        <w:rPr>
          <w:b w:val="0"/>
        </w:rPr>
        <w:t xml:space="preserve">]. </w:t>
      </w:r>
    </w:p>
    <w:p w14:paraId="59D5F0E2" w14:textId="77777777" w:rsidR="00F864D7" w:rsidRPr="00F12D7B" w:rsidRDefault="00F864D7" w:rsidP="00F864D7">
      <w:pPr>
        <w:pStyle w:val="MDPI21heading1"/>
        <w:jc w:val="both"/>
        <w:rPr>
          <w:b w:val="0"/>
        </w:rPr>
      </w:pPr>
      <w:r w:rsidRPr="00F12D7B">
        <w:rPr>
          <w:b w:val="0"/>
        </w:rPr>
        <w:t>The present study was undertaken to investigate the trabectedin antitumor activity in in vitro experimental cell models of ACC. The results revealed that trabectedin is highly cytotoxic at sub-nanomolar concentrations both in ACC cell lines and primary cell cultures derived from patients who underwent surgery for ACC. Trabectedin showed high potency and efficacy, reaching a reduction of cell viability of about 90% compared to untreated cells. These results are in line with those obtained in soft tumor sarcoma (STS) cells [</w:t>
      </w:r>
      <w:r w:rsidR="00641156" w:rsidRPr="00F12D7B">
        <w:rPr>
          <w:b w:val="0"/>
        </w:rPr>
        <w:t>17</w:t>
      </w:r>
      <w:r w:rsidRPr="00F12D7B">
        <w:rPr>
          <w:b w:val="0"/>
        </w:rPr>
        <w:t>] and in ovary carcinoma cell lines [</w:t>
      </w:r>
      <w:r w:rsidR="00641156" w:rsidRPr="00F12D7B">
        <w:rPr>
          <w:b w:val="0"/>
        </w:rPr>
        <w:t>18</w:t>
      </w:r>
      <w:r w:rsidRPr="00F12D7B">
        <w:rPr>
          <w:b w:val="0"/>
        </w:rPr>
        <w:t>]. Also the IC50 obtained in ACC cells were in the same range of the above mentioned cell lines. Noteworthy, the cytotoxic damage induced by trabectedin showed an increasing trend when ACC cell lines were withdrawn from the drug and maintained in the normal growth medium. These data suggest that the insult induced by trabectedin are not repaired upon withdrawal and this is consistent with the trabectedin capability to inhibit the transcription-dependent nucleotide excision repair pathways, leading to p53-independent apoptosis [</w:t>
      </w:r>
      <w:r w:rsidR="00641156" w:rsidRPr="00F12D7B">
        <w:rPr>
          <w:b w:val="0"/>
        </w:rPr>
        <w:t>19</w:t>
      </w:r>
      <w:r w:rsidRPr="00F12D7B">
        <w:rPr>
          <w:b w:val="0"/>
        </w:rPr>
        <w:t xml:space="preserve">]. </w:t>
      </w:r>
    </w:p>
    <w:p w14:paraId="7F86E6BD" w14:textId="77777777" w:rsidR="00F864D7" w:rsidRPr="00F12D7B" w:rsidRDefault="00F864D7" w:rsidP="00F864D7">
      <w:pPr>
        <w:pStyle w:val="MDPI21heading1"/>
        <w:jc w:val="both"/>
        <w:rPr>
          <w:b w:val="0"/>
        </w:rPr>
      </w:pPr>
      <w:r w:rsidRPr="00F12D7B">
        <w:rPr>
          <w:b w:val="0"/>
        </w:rPr>
        <w:t>Noteworthy, the sensitivity of tumor cells to trabectedin antineoplastic activity varied consistently among the different cell lines evaluated, being maximum against NCI-H295R and less evident against MUC-1, that are derived from an ACC patient whose tumor was resistant to the standard EDP-M scheme. This would imply that trabectedin could be efficacious when administered upfront, while its efficacy could decrease if the drug is employed as second line approach in EDP-M treated patients. This hypothesis is strengthened by results obtained with the primary cell cultures. Indeed ACC06-I and ACC24-I cells, established from metastases of EDP-M pretreated patients, displayed a limited sensitivity to trabectedin, with a cytotoxic efficacy around 50%; while ACC03 and ACC32, belonging to untreated local relapse and primary ACC, respectively, were highly susceptible to the trabectedin cytotoxic effect, with almost no alive cells left after 4 days trabectedin exposure.  It should be noted, however, that a degree of variability to trabectedin does exist among patients, as ACC29 cells derive from a patient that underwent 4 EDP-M cycles before surgery, but cells still maintained a good response, reaching about 80% of cytotoxicity when they are exposed to the highest trabectedin concentration used.  Finally, the SW13 cell line, probably belonging from a small cell carcinoma of adrenal, was highly sensitive to trabectedin cytotoxic effect.</w:t>
      </w:r>
    </w:p>
    <w:p w14:paraId="754EDC4A" w14:textId="437F8237" w:rsidR="00F864D7" w:rsidRPr="00F12D7B" w:rsidRDefault="00F864D7" w:rsidP="00F864D7">
      <w:pPr>
        <w:pStyle w:val="MDPI21heading1"/>
        <w:jc w:val="both"/>
        <w:rPr>
          <w:b w:val="0"/>
        </w:rPr>
      </w:pPr>
      <w:r w:rsidRPr="00F12D7B">
        <w:rPr>
          <w:b w:val="0"/>
        </w:rPr>
        <w:t xml:space="preserve">The observation of the in vitro synergic cytotoxic effect when NCI-H295R cells were treated with the trabectedin and mitotane combination has an interesting potential clinical implication, since the therapeutic potential of the combination can be obtained at low doses of each drug, thus leading to more efficacious therapeutic approach and ameliorating the toxicity profile. The pharmacometabolic interactions between the </w:t>
      </w:r>
      <w:r w:rsidR="00F925F0">
        <w:rPr>
          <w:b w:val="0"/>
        </w:rPr>
        <w:t>two</w:t>
      </w:r>
      <w:r w:rsidRPr="00F12D7B">
        <w:rPr>
          <w:b w:val="0"/>
        </w:rPr>
        <w:t xml:space="preserve"> drugs could be a limit of their association in clinics, as mitotane is known to be a CYP3A4/5 inducer and trabectedin is extensively metabolized by the CYP3A4 (www.micromedexsolutions.com, accessed October 10 2019). It should be underlined, however, that a limit of the mitotane therapy is its latency of action, due to the long half-life that allowed the achievement of the initial response after about three months [4] This period could be critical, especially for patient with advanced disease. It could be thus speculate that a sequential/combined </w:t>
      </w:r>
      <w:r w:rsidRPr="00F12D7B">
        <w:rPr>
          <w:b w:val="0"/>
        </w:rPr>
        <w:lastRenderedPageBreak/>
        <w:t xml:space="preserve">trabectedin plus mitotane treatment could be of clinical interest, with the advantage of a prompt cytotoxic effect, which could be improved when the two drugs are overlapping. Periodical evaluation of trabectedin plasma concentration could be indicated, to highlight the possible pharmacometabolic induction of trabectedin by the mitotane. </w:t>
      </w:r>
    </w:p>
    <w:p w14:paraId="6D65F7FE" w14:textId="77777777" w:rsidR="00F864D7" w:rsidRPr="00F12D7B" w:rsidRDefault="00F864D7" w:rsidP="00F864D7">
      <w:pPr>
        <w:pStyle w:val="MDPI21heading1"/>
        <w:jc w:val="both"/>
        <w:rPr>
          <w:b w:val="0"/>
        </w:rPr>
      </w:pPr>
      <w:r w:rsidRPr="00F12D7B">
        <w:rPr>
          <w:b w:val="0"/>
        </w:rPr>
        <w:t>The Wnt/ β-catenin pathway activation in ACC is notoriously a  major tumor driver in the pathogenesis of ACC [</w:t>
      </w:r>
      <w:r w:rsidR="00641156" w:rsidRPr="00F12D7B">
        <w:rPr>
          <w:b w:val="0"/>
        </w:rPr>
        <w:t>20</w:t>
      </w:r>
      <w:r w:rsidRPr="00F12D7B">
        <w:rPr>
          <w:b w:val="0"/>
        </w:rPr>
        <w:t>] and a mechanism of ACC resistance to modern immunotherapy [</w:t>
      </w:r>
      <w:r w:rsidR="00641156" w:rsidRPr="00F12D7B">
        <w:rPr>
          <w:b w:val="0"/>
        </w:rPr>
        <w:t>21, 22</w:t>
      </w:r>
      <w:r w:rsidRPr="00F12D7B">
        <w:rPr>
          <w:b w:val="0"/>
        </w:rPr>
        <w:t>]. NCI-H295R cells harbor an activating point mutation in the β-catenin gene CTNNB1 that modifies the Ser45 of exon 3, leading to enhanced Wnt/ β-catenin transcriptional activity and increased nuclear localization [</w:t>
      </w:r>
      <w:r w:rsidR="00641156" w:rsidRPr="00F12D7B">
        <w:rPr>
          <w:b w:val="0"/>
        </w:rPr>
        <w:t>23, 24</w:t>
      </w:r>
      <w:r w:rsidRPr="00F12D7B">
        <w:rPr>
          <w:b w:val="0"/>
        </w:rPr>
        <w:t>]. Despite the constitutive activation of CTNNB1 gene, however, the Wnt/β-catenin pathway in the NCI-H295R cell model retains, at least partially, the capability to respond to exogenous regulatory stimuli. This was shown to be induced by progesterone in previous studies of our group [</w:t>
      </w:r>
      <w:r w:rsidR="00641156" w:rsidRPr="00F12D7B">
        <w:rPr>
          <w:b w:val="0"/>
        </w:rPr>
        <w:t>25, 26</w:t>
      </w:r>
      <w:r w:rsidRPr="00F12D7B">
        <w:rPr>
          <w:b w:val="0"/>
        </w:rPr>
        <w:t>], as well as in a study testing the Wnt/ β-catenin inhibitor PNU-7654 [</w:t>
      </w:r>
      <w:r w:rsidR="00641156" w:rsidRPr="00F12D7B">
        <w:rPr>
          <w:b w:val="0"/>
        </w:rPr>
        <w:t>24</w:t>
      </w:r>
      <w:r w:rsidRPr="00F12D7B">
        <w:rPr>
          <w:b w:val="0"/>
        </w:rPr>
        <w:t>]</w:t>
      </w:r>
    </w:p>
    <w:p w14:paraId="7BE7C7E0" w14:textId="0AE7C8B4" w:rsidR="00F864D7" w:rsidRPr="00F12D7B" w:rsidRDefault="00F864D7" w:rsidP="00F864D7">
      <w:pPr>
        <w:pStyle w:val="MDPI21heading1"/>
        <w:jc w:val="both"/>
        <w:rPr>
          <w:b w:val="0"/>
        </w:rPr>
      </w:pPr>
      <w:r w:rsidRPr="00F12D7B">
        <w:rPr>
          <w:b w:val="0"/>
        </w:rPr>
        <w:t xml:space="preserve">Noteworthy, Peraldo-Neia [14] recently showed in preclinical cell models of cholangiocarcinoma that trabectedin is able to inhibit the Wnt/β-catenin pathway, leading to downregulation of MYCC expression, proliferation inhibition and apoptosis enhancement. Here, we </w:t>
      </w:r>
      <w:r w:rsidR="00F925F0">
        <w:rPr>
          <w:b w:val="0"/>
        </w:rPr>
        <w:t>provided preliminary evidence</w:t>
      </w:r>
      <w:r w:rsidRPr="00F12D7B">
        <w:rPr>
          <w:b w:val="0"/>
        </w:rPr>
        <w:t xml:space="preserve"> that trabectedin treatment reduced the nuclear localization of β-catenin in NCI-H295R cells and increased the co-localization of β-catenin with cytoplasmatic proteasomal protein markers, thus suggesting a proteosomal degradation.  The reduction of β-catenin nuclear localization </w:t>
      </w:r>
      <w:r w:rsidR="006D751E">
        <w:rPr>
          <w:b w:val="0"/>
        </w:rPr>
        <w:t>found a functional effect in the modification of</w:t>
      </w:r>
      <w:r w:rsidRPr="00F12D7B">
        <w:rPr>
          <w:b w:val="0"/>
        </w:rPr>
        <w:t xml:space="preserve"> the expression of some target genes involved in the activity and in the regulation of this pathway. </w:t>
      </w:r>
      <w:r w:rsidR="006D751E">
        <w:rPr>
          <w:b w:val="0"/>
        </w:rPr>
        <w:t xml:space="preserve">We provided indications </w:t>
      </w:r>
      <w:r w:rsidRPr="00F12D7B">
        <w:rPr>
          <w:b w:val="0"/>
        </w:rPr>
        <w:t>that trabectedin lead to the increased expression of CTNNBIP1 (β-Catenin-Interacting-Protein-1) and DKK1 (Dickkopf-related protein) that inhibits [</w:t>
      </w:r>
      <w:r w:rsidR="00641156" w:rsidRPr="00F12D7B">
        <w:rPr>
          <w:b w:val="0"/>
        </w:rPr>
        <w:t>27</w:t>
      </w:r>
      <w:r w:rsidRPr="00F12D7B">
        <w:rPr>
          <w:b w:val="0"/>
        </w:rPr>
        <w:t>] and antagonizes [</w:t>
      </w:r>
      <w:r w:rsidR="00641156" w:rsidRPr="00F12D7B">
        <w:rPr>
          <w:b w:val="0"/>
        </w:rPr>
        <w:t>28, 29</w:t>
      </w:r>
      <w:r w:rsidRPr="00F12D7B">
        <w:rPr>
          <w:b w:val="0"/>
        </w:rPr>
        <w:t xml:space="preserve">] the Wnt signaling pathway, respectively. </w:t>
      </w:r>
      <w:r w:rsidR="00922F87">
        <w:rPr>
          <w:b w:val="0"/>
        </w:rPr>
        <w:t xml:space="preserve">The apparent discrepancy of </w:t>
      </w:r>
      <w:r w:rsidR="00D64C82">
        <w:rPr>
          <w:b w:val="0"/>
        </w:rPr>
        <w:t xml:space="preserve">the </w:t>
      </w:r>
      <w:r w:rsidR="00922F87">
        <w:rPr>
          <w:b w:val="0"/>
        </w:rPr>
        <w:t xml:space="preserve">DKK1 mRNA increase  found its rationale in </w:t>
      </w:r>
      <w:r w:rsidR="00922F87" w:rsidRPr="00922F87">
        <w:rPr>
          <w:b w:val="0"/>
        </w:rPr>
        <w:t>the evidence that al</w:t>
      </w:r>
      <w:r w:rsidR="00922F87">
        <w:rPr>
          <w:b w:val="0"/>
        </w:rPr>
        <w:t>kylating drugs directly stimulate DKK1 gene expression</w:t>
      </w:r>
      <w:r w:rsidR="00922F87" w:rsidRPr="00922F87">
        <w:rPr>
          <w:b w:val="0"/>
        </w:rPr>
        <w:t xml:space="preserve"> (</w:t>
      </w:r>
      <w:r w:rsidR="00277FB1">
        <w:rPr>
          <w:b w:val="0"/>
        </w:rPr>
        <w:t>[30]</w:t>
      </w:r>
      <w:r w:rsidR="00922F87" w:rsidRPr="00922F87">
        <w:rPr>
          <w:b w:val="0"/>
        </w:rPr>
        <w:t xml:space="preserve">). </w:t>
      </w:r>
      <w:r w:rsidR="00922F87">
        <w:rPr>
          <w:b w:val="0"/>
        </w:rPr>
        <w:t xml:space="preserve">Thus, </w:t>
      </w:r>
      <w:r w:rsidR="00922F87" w:rsidRPr="00922F87">
        <w:rPr>
          <w:b w:val="0"/>
        </w:rPr>
        <w:t xml:space="preserve">result we observed may be the balance between the reduction of DKK1 mRNA expression induced by a decrease of nuclear β-catenin </w:t>
      </w:r>
      <w:r w:rsidR="00922F87">
        <w:rPr>
          <w:b w:val="0"/>
        </w:rPr>
        <w:t>(</w:t>
      </w:r>
      <w:r w:rsidR="00277FB1">
        <w:rPr>
          <w:b w:val="0"/>
        </w:rPr>
        <w:t>[31]</w:t>
      </w:r>
      <w:r w:rsidR="00922F87">
        <w:rPr>
          <w:b w:val="0"/>
        </w:rPr>
        <w:t>)</w:t>
      </w:r>
      <w:r w:rsidR="00922F87" w:rsidRPr="00922F87">
        <w:rPr>
          <w:b w:val="0"/>
        </w:rPr>
        <w:t xml:space="preserve"> and the mRNA increase  in response to the alkylating action of trabectedin.</w:t>
      </w:r>
      <w:r w:rsidR="00922F87">
        <w:rPr>
          <w:b w:val="0"/>
        </w:rPr>
        <w:t xml:space="preserve"> </w:t>
      </w:r>
      <w:r w:rsidR="00922F87" w:rsidRPr="00922F87">
        <w:rPr>
          <w:b w:val="0"/>
        </w:rPr>
        <w:t xml:space="preserve"> </w:t>
      </w:r>
      <w:r w:rsidRPr="00F12D7B">
        <w:rPr>
          <w:b w:val="0"/>
        </w:rPr>
        <w:t>Moreover, we observed a strong increase of the gene encoding the trascription factor SOX17, a Wnt signaling antagonist, [</w:t>
      </w:r>
      <w:r w:rsidR="00277FB1">
        <w:rPr>
          <w:b w:val="0"/>
        </w:rPr>
        <w:t>32-34</w:t>
      </w:r>
      <w:r w:rsidRPr="00F12D7B">
        <w:rPr>
          <w:b w:val="0"/>
        </w:rPr>
        <w:t>] and reduction of TCF7 gene expression, that is involved in the trabectedin-induced reduction of cell viability [</w:t>
      </w:r>
      <w:r w:rsidR="00641156" w:rsidRPr="00F12D7B">
        <w:rPr>
          <w:b w:val="0"/>
        </w:rPr>
        <w:t>24</w:t>
      </w:r>
      <w:r w:rsidRPr="00F12D7B">
        <w:rPr>
          <w:b w:val="0"/>
        </w:rPr>
        <w:t>]. The Wnt downstream regulator WISP1 (WNT1-inducible signaling pathway protein-1) (for a review see: [</w:t>
      </w:r>
      <w:r w:rsidR="00277FB1">
        <w:rPr>
          <w:b w:val="0"/>
        </w:rPr>
        <w:t>35</w:t>
      </w:r>
      <w:r w:rsidRPr="00F12D7B">
        <w:rPr>
          <w:b w:val="0"/>
        </w:rPr>
        <w:t>] and MYCC gene expressions (reviewed in [</w:t>
      </w:r>
      <w:r w:rsidR="00277FB1">
        <w:rPr>
          <w:b w:val="0"/>
        </w:rPr>
        <w:t>36</w:t>
      </w:r>
      <w:r w:rsidRPr="00F12D7B">
        <w:rPr>
          <w:b w:val="0"/>
        </w:rPr>
        <w:t xml:space="preserve">]), were also reduced. </w:t>
      </w:r>
    </w:p>
    <w:p w14:paraId="05EBDF47" w14:textId="3B2408E0" w:rsidR="00F864D7" w:rsidRPr="00F12D7B" w:rsidRDefault="006D751E" w:rsidP="00F864D7">
      <w:pPr>
        <w:pStyle w:val="MDPI21heading1"/>
        <w:jc w:val="both"/>
        <w:rPr>
          <w:b w:val="0"/>
        </w:rPr>
      </w:pPr>
      <w:r>
        <w:rPr>
          <w:b w:val="0"/>
        </w:rPr>
        <w:t xml:space="preserve">We are aware that </w:t>
      </w:r>
      <w:r w:rsidR="00E61C3D">
        <w:rPr>
          <w:b w:val="0"/>
        </w:rPr>
        <w:t xml:space="preserve">gene expression does not linearly correlate with the protein translation, </w:t>
      </w:r>
      <w:r w:rsidR="0062578B">
        <w:rPr>
          <w:b w:val="0"/>
        </w:rPr>
        <w:t>and that</w:t>
      </w:r>
      <w:r w:rsidR="00F864D7" w:rsidRPr="00F12D7B">
        <w:rPr>
          <w:b w:val="0"/>
        </w:rPr>
        <w:t xml:space="preserve"> these data need confirmation with the protein expression</w:t>
      </w:r>
      <w:r w:rsidR="00E61C3D">
        <w:rPr>
          <w:b w:val="0"/>
        </w:rPr>
        <w:t>. N</w:t>
      </w:r>
      <w:r w:rsidR="00F864D7" w:rsidRPr="00F12D7B">
        <w:rPr>
          <w:b w:val="0"/>
        </w:rPr>
        <w:t xml:space="preserve">evertheless </w:t>
      </w:r>
      <w:r w:rsidR="00B350C2">
        <w:rPr>
          <w:b w:val="0"/>
        </w:rPr>
        <w:t>our results</w:t>
      </w:r>
      <w:r w:rsidR="00B350C2" w:rsidRPr="00B350C2">
        <w:rPr>
          <w:b w:val="0"/>
        </w:rPr>
        <w:t xml:space="preserve"> </w:t>
      </w:r>
      <w:r w:rsidR="00B350C2">
        <w:rPr>
          <w:b w:val="0"/>
        </w:rPr>
        <w:t>begin</w:t>
      </w:r>
      <w:r w:rsidR="00B350C2" w:rsidRPr="00B350C2">
        <w:rPr>
          <w:b w:val="0"/>
        </w:rPr>
        <w:t xml:space="preserve"> shedding light on the possible involvement of this crucial pathway in the </w:t>
      </w:r>
      <w:r w:rsidR="00B350C2">
        <w:rPr>
          <w:b w:val="0"/>
        </w:rPr>
        <w:t xml:space="preserve">trabectedin mechanism of action, </w:t>
      </w:r>
      <w:r w:rsidR="00F864D7" w:rsidRPr="00F12D7B">
        <w:rPr>
          <w:b w:val="0"/>
        </w:rPr>
        <w:t xml:space="preserve">strongly indicating that </w:t>
      </w:r>
      <w:r w:rsidR="00B350C2">
        <w:rPr>
          <w:b w:val="0"/>
        </w:rPr>
        <w:t>it</w:t>
      </w:r>
      <w:r w:rsidR="00F864D7" w:rsidRPr="00F12D7B">
        <w:rPr>
          <w:b w:val="0"/>
        </w:rPr>
        <w:t xml:space="preserve"> is even more complex than hitherto demonstrated.</w:t>
      </w:r>
    </w:p>
    <w:p w14:paraId="44E166DB" w14:textId="77777777" w:rsidR="00A6331C" w:rsidRPr="00F12D7B" w:rsidRDefault="00A6331C" w:rsidP="00F864D7">
      <w:pPr>
        <w:pStyle w:val="MDPI21heading1"/>
        <w:jc w:val="both"/>
        <w:rPr>
          <w:b w:val="0"/>
        </w:rPr>
      </w:pPr>
    </w:p>
    <w:p w14:paraId="1633C504" w14:textId="77777777" w:rsidR="003A55A8" w:rsidRPr="00F12D7B" w:rsidRDefault="003A55A8" w:rsidP="00F864D7">
      <w:pPr>
        <w:pStyle w:val="MDPI21heading1"/>
      </w:pPr>
      <w:r w:rsidRPr="00F12D7B">
        <w:rPr>
          <w:lang w:eastAsia="zh-CN"/>
        </w:rPr>
        <w:t xml:space="preserve">4. </w:t>
      </w:r>
      <w:r w:rsidRPr="00F12D7B">
        <w:t xml:space="preserve">Materials and Methods </w:t>
      </w:r>
    </w:p>
    <w:p w14:paraId="5B19DBAE" w14:textId="77777777" w:rsidR="00F864D7" w:rsidRPr="00F12D7B" w:rsidRDefault="00F864D7" w:rsidP="00F864D7">
      <w:pPr>
        <w:pStyle w:val="MDPI22heading2"/>
      </w:pPr>
      <w:r w:rsidRPr="00F12D7B">
        <w:t xml:space="preserve">4.1. </w:t>
      </w:r>
      <w:r w:rsidR="00A71D74" w:rsidRPr="00F12D7B">
        <w:t>Cell lines</w:t>
      </w:r>
    </w:p>
    <w:p w14:paraId="0A0D8904" w14:textId="46086AD8" w:rsidR="00A71D74" w:rsidRPr="00F12D7B" w:rsidRDefault="00A71D74" w:rsidP="00A71D74">
      <w:pPr>
        <w:pStyle w:val="MDPI21heading1"/>
        <w:jc w:val="both"/>
        <w:rPr>
          <w:b w:val="0"/>
        </w:rPr>
      </w:pPr>
      <w:r w:rsidRPr="00F12D7B">
        <w:rPr>
          <w:b w:val="0"/>
        </w:rPr>
        <w:t>The NCI-H295R, HAC-15 and SW13 cell lines were purchased by ATCC (American Type Culture Collection, U.S.A.) and maintained as suggested. MUC-1 cells were kindly given by Dr. Hantel, and were maintained according to [</w:t>
      </w:r>
      <w:r w:rsidR="00277FB1">
        <w:rPr>
          <w:b w:val="0"/>
        </w:rPr>
        <w:t>37</w:t>
      </w:r>
      <w:r w:rsidRPr="00F12D7B">
        <w:rPr>
          <w:b w:val="0"/>
        </w:rPr>
        <w:t>]. Media and supplements were supplied by Sigma Aldrich Italia, (Milano, Italy). NCI-H295R cells are the worldwide known in vitro ACC model [</w:t>
      </w:r>
      <w:r w:rsidR="00277FB1">
        <w:rPr>
          <w:b w:val="0"/>
        </w:rPr>
        <w:t>38</w:t>
      </w:r>
      <w:r w:rsidRPr="00F12D7B">
        <w:rPr>
          <w:b w:val="0"/>
        </w:rPr>
        <w:t>]. HAC-15 cells derived from NCI-H295R cell line and retain the ACTH-sensitivity [</w:t>
      </w:r>
      <w:r w:rsidR="00277FB1">
        <w:rPr>
          <w:b w:val="0"/>
        </w:rPr>
        <w:t>39</w:t>
      </w:r>
      <w:r w:rsidRPr="00F12D7B">
        <w:rPr>
          <w:b w:val="0"/>
        </w:rPr>
        <w:t>]. The SW13 cell line has been established from a small cell carcinoma in the adrenal cortex, but its histopathologic characteristics are still under investigation [</w:t>
      </w:r>
      <w:r w:rsidR="00277FB1">
        <w:rPr>
          <w:b w:val="0"/>
        </w:rPr>
        <w:t>40</w:t>
      </w:r>
      <w:r w:rsidRPr="00F12D7B">
        <w:rPr>
          <w:b w:val="0"/>
        </w:rPr>
        <w:t>]. Finally, MUC-1 cells derive from a neck metastasis of an EDP-M treated patient [</w:t>
      </w:r>
      <w:r w:rsidR="00277FB1">
        <w:rPr>
          <w:b w:val="0"/>
        </w:rPr>
        <w:t>37</w:t>
      </w:r>
      <w:r w:rsidRPr="00F12D7B">
        <w:rPr>
          <w:b w:val="0"/>
        </w:rPr>
        <w:t>].</w:t>
      </w:r>
    </w:p>
    <w:p w14:paraId="444E1A05" w14:textId="77777777" w:rsidR="00A71D74" w:rsidRPr="00F12D7B" w:rsidRDefault="00A71D74" w:rsidP="00A71D74">
      <w:pPr>
        <w:pStyle w:val="MDPI21heading1"/>
        <w:jc w:val="both"/>
        <w:rPr>
          <w:b w:val="0"/>
        </w:rPr>
      </w:pPr>
    </w:p>
    <w:p w14:paraId="03491B2B" w14:textId="77777777" w:rsidR="00A71D74" w:rsidRPr="00F12D7B" w:rsidRDefault="00A71D74" w:rsidP="00A71D74">
      <w:pPr>
        <w:pStyle w:val="MDPI22heading2"/>
      </w:pPr>
      <w:r w:rsidRPr="00F12D7B">
        <w:t>4.2. Primary cultures</w:t>
      </w:r>
    </w:p>
    <w:p w14:paraId="26A402EF" w14:textId="77777777" w:rsidR="00DF042E" w:rsidRDefault="00A71D74" w:rsidP="00A71D74">
      <w:pPr>
        <w:pStyle w:val="MDPI21heading1"/>
        <w:jc w:val="both"/>
        <w:rPr>
          <w:b w:val="0"/>
        </w:rPr>
      </w:pPr>
      <w:r w:rsidRPr="00F12D7B">
        <w:rPr>
          <w:b w:val="0"/>
        </w:rPr>
        <w:t>The ACC primary cultures belonged to five patients underwent surgical resection of primary or metastatic ACC. One of them (ACC29) presented a cortisol-secreting tumor, while others were non-secreting tumors. The clinical characteristics of pa</w:t>
      </w:r>
      <w:r w:rsidR="00CB195D">
        <w:rPr>
          <w:b w:val="0"/>
        </w:rPr>
        <w:t xml:space="preserve">tients are summarized </w:t>
      </w:r>
      <w:r w:rsidR="00CB195D" w:rsidRPr="00CE1124">
        <w:rPr>
          <w:b w:val="0"/>
        </w:rPr>
        <w:t xml:space="preserve">in </w:t>
      </w:r>
      <w:r w:rsidR="00CE1124" w:rsidRPr="00CE1124">
        <w:rPr>
          <w:b w:val="0"/>
        </w:rPr>
        <w:t>Table 2</w:t>
      </w:r>
      <w:r w:rsidRPr="00CE1124">
        <w:rPr>
          <w:b w:val="0"/>
        </w:rPr>
        <w:t>.</w:t>
      </w:r>
      <w:r w:rsidRPr="00F12D7B">
        <w:rPr>
          <w:b w:val="0"/>
        </w:rPr>
        <w:t xml:space="preserve"> </w:t>
      </w:r>
    </w:p>
    <w:p w14:paraId="7D115B25" w14:textId="77777777" w:rsidR="00CE1124" w:rsidRDefault="00CE1124" w:rsidP="00A71D74">
      <w:pPr>
        <w:pStyle w:val="MDPI21heading1"/>
        <w:jc w:val="both"/>
        <w:rPr>
          <w:b w:val="0"/>
        </w:rPr>
      </w:pPr>
    </w:p>
    <w:p w14:paraId="1DE2A6DC" w14:textId="77777777" w:rsidR="00DF042E" w:rsidRDefault="00CE1124" w:rsidP="00A71D74">
      <w:pPr>
        <w:pStyle w:val="MDPI21heading1"/>
        <w:jc w:val="both"/>
        <w:rPr>
          <w:b w:val="0"/>
        </w:rPr>
      </w:pPr>
      <w:r>
        <w:rPr>
          <w:snapToGrid/>
          <w:sz w:val="18"/>
          <w:szCs w:val="20"/>
        </w:rPr>
        <w:t>Table 2</w:t>
      </w:r>
      <w:r w:rsidR="00DF042E" w:rsidRPr="00DF042E">
        <w:rPr>
          <w:snapToGrid/>
          <w:sz w:val="18"/>
          <w:szCs w:val="20"/>
        </w:rPr>
        <w:t>.</w:t>
      </w:r>
      <w:r w:rsidR="00DF042E" w:rsidRPr="00DF042E">
        <w:rPr>
          <w:b w:val="0"/>
          <w:snapToGrid/>
          <w:sz w:val="18"/>
          <w:szCs w:val="20"/>
        </w:rPr>
        <w:t xml:space="preserve"> Clinical and immunohistochemical characteristics of ACC patients.</w:t>
      </w:r>
    </w:p>
    <w:tbl>
      <w:tblPr>
        <w:tblStyle w:val="Mdeck5tablebodythreelines"/>
        <w:tblW w:w="9351" w:type="dxa"/>
        <w:tblLook w:val="01E0" w:firstRow="1" w:lastRow="1" w:firstColumn="1" w:lastColumn="1" w:noHBand="0" w:noVBand="0"/>
      </w:tblPr>
      <w:tblGrid>
        <w:gridCol w:w="1576"/>
        <w:gridCol w:w="1203"/>
        <w:gridCol w:w="1611"/>
        <w:gridCol w:w="1701"/>
        <w:gridCol w:w="1842"/>
        <w:gridCol w:w="1418"/>
      </w:tblGrid>
      <w:tr w:rsidR="00DF042E" w:rsidRPr="00DF042E" w14:paraId="3BE462B7" w14:textId="77777777" w:rsidTr="00DF042E">
        <w:trPr>
          <w:cnfStyle w:val="100000000000" w:firstRow="1" w:lastRow="0" w:firstColumn="0" w:lastColumn="0" w:oddVBand="0" w:evenVBand="0" w:oddHBand="0" w:evenHBand="0" w:firstRowFirstColumn="0" w:firstRowLastColumn="0" w:lastRowFirstColumn="0" w:lastRowLastColumn="0"/>
          <w:trHeight w:val="1195"/>
        </w:trPr>
        <w:tc>
          <w:tcPr>
            <w:tcW w:w="1576" w:type="dxa"/>
          </w:tcPr>
          <w:p w14:paraId="1B2808B0"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Primary culture identification</w:t>
            </w:r>
          </w:p>
        </w:tc>
        <w:tc>
          <w:tcPr>
            <w:tcW w:w="1203" w:type="dxa"/>
          </w:tcPr>
          <w:p w14:paraId="69E1F558"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Tumor specimen</w:t>
            </w:r>
          </w:p>
        </w:tc>
        <w:tc>
          <w:tcPr>
            <w:tcW w:w="1611" w:type="dxa"/>
          </w:tcPr>
          <w:p w14:paraId="1C8E0DA8"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Histology</w:t>
            </w:r>
          </w:p>
        </w:tc>
        <w:tc>
          <w:tcPr>
            <w:tcW w:w="1701" w:type="dxa"/>
          </w:tcPr>
          <w:p w14:paraId="10AEB3F6"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Disease stage</w:t>
            </w:r>
          </w:p>
        </w:tc>
        <w:tc>
          <w:tcPr>
            <w:tcW w:w="1842" w:type="dxa"/>
          </w:tcPr>
          <w:p w14:paraId="193A9440"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Hormone hypersecretion</w:t>
            </w:r>
          </w:p>
        </w:tc>
        <w:tc>
          <w:tcPr>
            <w:tcW w:w="1418" w:type="dxa"/>
          </w:tcPr>
          <w:p w14:paraId="77561158" w14:textId="77777777" w:rsidR="00DF042E" w:rsidRPr="00DF042E" w:rsidRDefault="00DF042E" w:rsidP="00DF042E">
            <w:pPr>
              <w:spacing w:before="220" w:after="220" w:line="276" w:lineRule="auto"/>
              <w:jc w:val="center"/>
              <w:rPr>
                <w:rFonts w:ascii="Palatino Linotype" w:hAnsi="Palatino Linotype"/>
                <w:b/>
                <w:sz w:val="20"/>
                <w:szCs w:val="22"/>
                <w:lang w:bidi="en-US"/>
              </w:rPr>
            </w:pPr>
            <w:r w:rsidRPr="00DF042E">
              <w:rPr>
                <w:rFonts w:ascii="Palatino Linotype" w:hAnsi="Palatino Linotype"/>
                <w:b/>
                <w:sz w:val="20"/>
                <w:szCs w:val="22"/>
                <w:lang w:bidi="en-US"/>
              </w:rPr>
              <w:t>SF-1 expression</w:t>
            </w:r>
          </w:p>
        </w:tc>
      </w:tr>
      <w:tr w:rsidR="00DF042E" w:rsidRPr="003C24E7" w14:paraId="7091CCD0" w14:textId="77777777" w:rsidTr="00DF042E">
        <w:trPr>
          <w:trHeight w:val="340"/>
        </w:trPr>
        <w:tc>
          <w:tcPr>
            <w:tcW w:w="1576" w:type="dxa"/>
          </w:tcPr>
          <w:p w14:paraId="43ABE929" w14:textId="77777777" w:rsidR="00DF042E" w:rsidRPr="00DF042E" w:rsidRDefault="00DF042E" w:rsidP="00DF042E">
            <w:pPr>
              <w:spacing w:line="240" w:lineRule="auto"/>
              <w:jc w:val="center"/>
              <w:rPr>
                <w:rFonts w:ascii="Palatino Linotype" w:hAnsi="Palatino Linotype"/>
                <w:b/>
                <w:snapToGrid w:val="0"/>
                <w:sz w:val="20"/>
                <w:szCs w:val="22"/>
                <w:lang w:bidi="en-US"/>
              </w:rPr>
            </w:pPr>
            <w:r w:rsidRPr="00DF042E">
              <w:rPr>
                <w:rFonts w:ascii="Palatino Linotype" w:hAnsi="Palatino Linotype"/>
                <w:b/>
                <w:snapToGrid w:val="0"/>
                <w:sz w:val="20"/>
                <w:szCs w:val="22"/>
                <w:lang w:bidi="en-US"/>
              </w:rPr>
              <w:t>ACC03</w:t>
            </w:r>
          </w:p>
          <w:p w14:paraId="351CAC34"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Male</w:t>
            </w:r>
          </w:p>
          <w:p w14:paraId="2807065B" w14:textId="77777777" w:rsid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59 yr old</w:t>
            </w:r>
          </w:p>
          <w:p w14:paraId="308BA521" w14:textId="77777777" w:rsidR="00DF042E" w:rsidRPr="00DF042E" w:rsidRDefault="00DF042E" w:rsidP="00DF042E">
            <w:pPr>
              <w:spacing w:line="240" w:lineRule="auto"/>
              <w:jc w:val="center"/>
              <w:rPr>
                <w:rFonts w:ascii="Palatino Linotype" w:hAnsi="Palatino Linotype"/>
                <w:snapToGrid w:val="0"/>
                <w:sz w:val="20"/>
                <w:szCs w:val="22"/>
                <w:lang w:bidi="en-US"/>
              </w:rPr>
            </w:pPr>
          </w:p>
        </w:tc>
        <w:tc>
          <w:tcPr>
            <w:tcW w:w="1203" w:type="dxa"/>
          </w:tcPr>
          <w:p w14:paraId="784AB52E"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Local relapse of ACC</w:t>
            </w:r>
          </w:p>
        </w:tc>
        <w:tc>
          <w:tcPr>
            <w:tcW w:w="1611" w:type="dxa"/>
          </w:tcPr>
          <w:p w14:paraId="6515AFE0"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Mitotic index: 25/50 HPF; Ki67: 20%</w:t>
            </w:r>
          </w:p>
        </w:tc>
        <w:tc>
          <w:tcPr>
            <w:tcW w:w="1701" w:type="dxa"/>
          </w:tcPr>
          <w:p w14:paraId="0C09227C"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Local relapse</w:t>
            </w:r>
          </w:p>
        </w:tc>
        <w:tc>
          <w:tcPr>
            <w:tcW w:w="1842" w:type="dxa"/>
          </w:tcPr>
          <w:p w14:paraId="557C970F"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No secretion</w:t>
            </w:r>
          </w:p>
        </w:tc>
        <w:tc>
          <w:tcPr>
            <w:tcW w:w="1418" w:type="dxa"/>
          </w:tcPr>
          <w:p w14:paraId="27BBF424"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2+</w:t>
            </w:r>
          </w:p>
        </w:tc>
      </w:tr>
      <w:tr w:rsidR="00DF042E" w:rsidRPr="003C24E7" w14:paraId="726F2216" w14:textId="77777777" w:rsidTr="00DF042E">
        <w:trPr>
          <w:trHeight w:val="340"/>
        </w:trPr>
        <w:tc>
          <w:tcPr>
            <w:tcW w:w="1576" w:type="dxa"/>
          </w:tcPr>
          <w:p w14:paraId="246B2932" w14:textId="77777777" w:rsidR="00DF042E" w:rsidRPr="00DF042E" w:rsidRDefault="00DF042E" w:rsidP="00DF042E">
            <w:pPr>
              <w:spacing w:line="240" w:lineRule="auto"/>
              <w:jc w:val="center"/>
              <w:rPr>
                <w:rFonts w:ascii="Palatino Linotype" w:hAnsi="Palatino Linotype"/>
                <w:b/>
                <w:snapToGrid w:val="0"/>
                <w:sz w:val="20"/>
                <w:szCs w:val="22"/>
                <w:lang w:bidi="en-US"/>
              </w:rPr>
            </w:pPr>
            <w:r w:rsidRPr="00DF042E">
              <w:rPr>
                <w:rFonts w:ascii="Palatino Linotype" w:hAnsi="Palatino Linotype"/>
                <w:b/>
                <w:snapToGrid w:val="0"/>
                <w:sz w:val="20"/>
                <w:szCs w:val="22"/>
                <w:lang w:bidi="en-US"/>
              </w:rPr>
              <w:t>ACC06-I</w:t>
            </w:r>
          </w:p>
          <w:p w14:paraId="3E1830B7"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Male</w:t>
            </w:r>
          </w:p>
          <w:p w14:paraId="4111B63F" w14:textId="77777777" w:rsid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42 yr old</w:t>
            </w:r>
          </w:p>
          <w:p w14:paraId="5F895997" w14:textId="77777777" w:rsidR="00DF042E" w:rsidRPr="00DF042E" w:rsidRDefault="00DF042E" w:rsidP="00DF042E">
            <w:pPr>
              <w:spacing w:line="240" w:lineRule="auto"/>
              <w:jc w:val="center"/>
              <w:rPr>
                <w:rFonts w:ascii="Palatino Linotype" w:hAnsi="Palatino Linotype"/>
                <w:snapToGrid w:val="0"/>
                <w:sz w:val="20"/>
                <w:szCs w:val="22"/>
                <w:lang w:bidi="en-US"/>
              </w:rPr>
            </w:pPr>
          </w:p>
        </w:tc>
        <w:tc>
          <w:tcPr>
            <w:tcW w:w="1203" w:type="dxa"/>
          </w:tcPr>
          <w:p w14:paraId="333ED35E"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Hepatic metastasis</w:t>
            </w:r>
          </w:p>
        </w:tc>
        <w:tc>
          <w:tcPr>
            <w:tcW w:w="1611" w:type="dxa"/>
          </w:tcPr>
          <w:p w14:paraId="0C3F8B01"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Mitotic index: 18/50 HPF</w:t>
            </w:r>
          </w:p>
          <w:p w14:paraId="7CC44E45"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Ki67: 20%</w:t>
            </w:r>
          </w:p>
        </w:tc>
        <w:tc>
          <w:tcPr>
            <w:tcW w:w="1701" w:type="dxa"/>
          </w:tcPr>
          <w:p w14:paraId="11FBB404"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Stage IV, multiple metastases</w:t>
            </w:r>
          </w:p>
        </w:tc>
        <w:tc>
          <w:tcPr>
            <w:tcW w:w="1842" w:type="dxa"/>
          </w:tcPr>
          <w:p w14:paraId="0035B62E"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No secretion</w:t>
            </w:r>
          </w:p>
        </w:tc>
        <w:tc>
          <w:tcPr>
            <w:tcW w:w="1418" w:type="dxa"/>
          </w:tcPr>
          <w:p w14:paraId="279AA315"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2+</w:t>
            </w:r>
          </w:p>
        </w:tc>
      </w:tr>
      <w:tr w:rsidR="00DF042E" w:rsidRPr="003C24E7" w14:paraId="51472C15" w14:textId="77777777" w:rsidTr="00DF042E">
        <w:trPr>
          <w:trHeight w:val="340"/>
        </w:trPr>
        <w:tc>
          <w:tcPr>
            <w:tcW w:w="1576" w:type="dxa"/>
          </w:tcPr>
          <w:p w14:paraId="2C7B9CD4" w14:textId="77777777" w:rsidR="00DF042E" w:rsidRPr="00DF042E" w:rsidRDefault="00DF042E" w:rsidP="00DF042E">
            <w:pPr>
              <w:spacing w:line="240" w:lineRule="auto"/>
              <w:jc w:val="center"/>
              <w:rPr>
                <w:rFonts w:ascii="Palatino Linotype" w:hAnsi="Palatino Linotype"/>
                <w:b/>
                <w:snapToGrid w:val="0"/>
                <w:sz w:val="20"/>
                <w:szCs w:val="22"/>
                <w:lang w:bidi="en-US"/>
              </w:rPr>
            </w:pPr>
            <w:r w:rsidRPr="00DF042E">
              <w:rPr>
                <w:rFonts w:ascii="Palatino Linotype" w:hAnsi="Palatino Linotype"/>
                <w:b/>
                <w:snapToGrid w:val="0"/>
                <w:sz w:val="20"/>
                <w:szCs w:val="22"/>
                <w:lang w:bidi="en-US"/>
              </w:rPr>
              <w:t>ACC24-I</w:t>
            </w:r>
          </w:p>
          <w:p w14:paraId="1D3C4E27"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Female</w:t>
            </w:r>
          </w:p>
          <w:p w14:paraId="2D8EFF8B" w14:textId="77777777" w:rsid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45 yr old</w:t>
            </w:r>
          </w:p>
          <w:p w14:paraId="61EE3503" w14:textId="77777777" w:rsidR="00DF042E" w:rsidRPr="00DF042E" w:rsidRDefault="00DF042E" w:rsidP="00DF042E">
            <w:pPr>
              <w:spacing w:line="240" w:lineRule="auto"/>
              <w:jc w:val="center"/>
              <w:rPr>
                <w:rFonts w:ascii="Palatino Linotype" w:hAnsi="Palatino Linotype"/>
                <w:snapToGrid w:val="0"/>
                <w:sz w:val="20"/>
                <w:szCs w:val="22"/>
                <w:lang w:bidi="en-US"/>
              </w:rPr>
            </w:pPr>
          </w:p>
        </w:tc>
        <w:tc>
          <w:tcPr>
            <w:tcW w:w="1203" w:type="dxa"/>
          </w:tcPr>
          <w:p w14:paraId="0A7492CE"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Lung metastasis</w:t>
            </w:r>
          </w:p>
        </w:tc>
        <w:tc>
          <w:tcPr>
            <w:tcW w:w="1611" w:type="dxa"/>
          </w:tcPr>
          <w:p w14:paraId="35308CBA"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n.a.</w:t>
            </w:r>
          </w:p>
          <w:p w14:paraId="229395A3" w14:textId="77777777" w:rsidR="00DF042E" w:rsidRPr="00DF042E" w:rsidRDefault="00DF042E" w:rsidP="00DF042E">
            <w:pPr>
              <w:spacing w:line="240" w:lineRule="auto"/>
              <w:jc w:val="center"/>
              <w:rPr>
                <w:rFonts w:ascii="Palatino Linotype" w:hAnsi="Palatino Linotype"/>
                <w:snapToGrid w:val="0"/>
                <w:sz w:val="20"/>
                <w:szCs w:val="22"/>
                <w:lang w:bidi="en-US"/>
              </w:rPr>
            </w:pPr>
          </w:p>
        </w:tc>
        <w:tc>
          <w:tcPr>
            <w:tcW w:w="1701" w:type="dxa"/>
          </w:tcPr>
          <w:p w14:paraId="12E04E6E"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Stage IV, multiple metastases</w:t>
            </w:r>
          </w:p>
        </w:tc>
        <w:tc>
          <w:tcPr>
            <w:tcW w:w="1842" w:type="dxa"/>
          </w:tcPr>
          <w:p w14:paraId="422D9EFD"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No secretion</w:t>
            </w:r>
          </w:p>
        </w:tc>
        <w:tc>
          <w:tcPr>
            <w:tcW w:w="1418" w:type="dxa"/>
          </w:tcPr>
          <w:p w14:paraId="6B391F42"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2+</w:t>
            </w:r>
          </w:p>
          <w:p w14:paraId="09710E88" w14:textId="77777777" w:rsidR="00DF042E" w:rsidRPr="00DF042E" w:rsidRDefault="00DF042E" w:rsidP="00DF042E">
            <w:pPr>
              <w:spacing w:line="240" w:lineRule="auto"/>
              <w:jc w:val="center"/>
              <w:rPr>
                <w:rFonts w:ascii="Palatino Linotype" w:hAnsi="Palatino Linotype"/>
                <w:snapToGrid w:val="0"/>
                <w:sz w:val="20"/>
                <w:szCs w:val="22"/>
                <w:lang w:bidi="en-US"/>
              </w:rPr>
            </w:pPr>
          </w:p>
        </w:tc>
      </w:tr>
      <w:tr w:rsidR="00DF042E" w:rsidRPr="003C24E7" w14:paraId="2980B1BA" w14:textId="77777777" w:rsidTr="00DF042E">
        <w:trPr>
          <w:trHeight w:val="340"/>
        </w:trPr>
        <w:tc>
          <w:tcPr>
            <w:tcW w:w="1576" w:type="dxa"/>
          </w:tcPr>
          <w:p w14:paraId="3272EFB5" w14:textId="77777777" w:rsidR="00DF042E" w:rsidRPr="00DF042E" w:rsidRDefault="00DF042E" w:rsidP="00DF042E">
            <w:pPr>
              <w:spacing w:line="240" w:lineRule="auto"/>
              <w:jc w:val="center"/>
              <w:rPr>
                <w:rFonts w:ascii="Palatino Linotype" w:hAnsi="Palatino Linotype"/>
                <w:b/>
                <w:snapToGrid w:val="0"/>
                <w:sz w:val="20"/>
                <w:szCs w:val="22"/>
                <w:lang w:bidi="en-US"/>
              </w:rPr>
            </w:pPr>
            <w:r w:rsidRPr="00DF042E">
              <w:rPr>
                <w:rFonts w:ascii="Palatino Linotype" w:hAnsi="Palatino Linotype"/>
                <w:b/>
                <w:snapToGrid w:val="0"/>
                <w:sz w:val="20"/>
                <w:szCs w:val="22"/>
                <w:lang w:bidi="en-US"/>
              </w:rPr>
              <w:t>ACC29</w:t>
            </w:r>
          </w:p>
          <w:p w14:paraId="7E62B091"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Female</w:t>
            </w:r>
          </w:p>
          <w:p w14:paraId="2B1CA543" w14:textId="77777777" w:rsid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51 yr old</w:t>
            </w:r>
          </w:p>
          <w:p w14:paraId="04FCB51D" w14:textId="77777777" w:rsidR="00DF042E" w:rsidRPr="00DF042E" w:rsidRDefault="00DF042E" w:rsidP="00DF042E">
            <w:pPr>
              <w:spacing w:line="240" w:lineRule="auto"/>
              <w:jc w:val="center"/>
              <w:rPr>
                <w:rFonts w:ascii="Palatino Linotype" w:hAnsi="Palatino Linotype"/>
                <w:snapToGrid w:val="0"/>
                <w:sz w:val="20"/>
                <w:szCs w:val="22"/>
                <w:lang w:bidi="en-US"/>
              </w:rPr>
            </w:pPr>
          </w:p>
        </w:tc>
        <w:tc>
          <w:tcPr>
            <w:tcW w:w="1203" w:type="dxa"/>
          </w:tcPr>
          <w:p w14:paraId="6DBCCEBB"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Primary ACC</w:t>
            </w:r>
          </w:p>
        </w:tc>
        <w:tc>
          <w:tcPr>
            <w:tcW w:w="1611" w:type="dxa"/>
          </w:tcPr>
          <w:p w14:paraId="7F53DAC9"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Mitotic index: 2/50 HPF; Ki67: &lt;5%</w:t>
            </w:r>
          </w:p>
        </w:tc>
        <w:tc>
          <w:tcPr>
            <w:tcW w:w="1701" w:type="dxa"/>
          </w:tcPr>
          <w:p w14:paraId="4EFD3ECA"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Stage IV, lung metastases</w:t>
            </w:r>
          </w:p>
        </w:tc>
        <w:tc>
          <w:tcPr>
            <w:tcW w:w="1842" w:type="dxa"/>
          </w:tcPr>
          <w:p w14:paraId="645EA944"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Cortisol</w:t>
            </w:r>
          </w:p>
        </w:tc>
        <w:tc>
          <w:tcPr>
            <w:tcW w:w="1418" w:type="dxa"/>
          </w:tcPr>
          <w:p w14:paraId="1E908666"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2+</w:t>
            </w:r>
          </w:p>
        </w:tc>
      </w:tr>
      <w:tr w:rsidR="00DF042E" w:rsidRPr="003C24E7" w14:paraId="4B7706B9" w14:textId="77777777" w:rsidTr="00DF042E">
        <w:trPr>
          <w:trHeight w:val="340"/>
        </w:trPr>
        <w:tc>
          <w:tcPr>
            <w:tcW w:w="1576" w:type="dxa"/>
          </w:tcPr>
          <w:p w14:paraId="492EE8AA" w14:textId="77777777" w:rsidR="00DF042E" w:rsidRPr="00DF042E" w:rsidRDefault="00DF042E" w:rsidP="00DF042E">
            <w:pPr>
              <w:spacing w:line="240" w:lineRule="auto"/>
              <w:jc w:val="center"/>
              <w:rPr>
                <w:rFonts w:ascii="Palatino Linotype" w:hAnsi="Palatino Linotype"/>
                <w:b/>
                <w:snapToGrid w:val="0"/>
                <w:sz w:val="20"/>
                <w:szCs w:val="22"/>
                <w:lang w:bidi="en-US"/>
              </w:rPr>
            </w:pPr>
            <w:r w:rsidRPr="00DF042E">
              <w:rPr>
                <w:rFonts w:ascii="Palatino Linotype" w:hAnsi="Palatino Linotype"/>
                <w:b/>
                <w:snapToGrid w:val="0"/>
                <w:sz w:val="20"/>
                <w:szCs w:val="22"/>
                <w:lang w:bidi="en-US"/>
              </w:rPr>
              <w:t>ACC32</w:t>
            </w:r>
          </w:p>
          <w:p w14:paraId="27A08F29"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Male</w:t>
            </w:r>
          </w:p>
          <w:p w14:paraId="55A0E3B9"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66 yr old</w:t>
            </w:r>
          </w:p>
        </w:tc>
        <w:tc>
          <w:tcPr>
            <w:tcW w:w="1203" w:type="dxa"/>
          </w:tcPr>
          <w:p w14:paraId="184D0328"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Primary ACC</w:t>
            </w:r>
          </w:p>
        </w:tc>
        <w:tc>
          <w:tcPr>
            <w:tcW w:w="1611" w:type="dxa"/>
          </w:tcPr>
          <w:p w14:paraId="5D7ECBED"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Mitotic index: &gt;5/50 HPF; Ki67: 20%</w:t>
            </w:r>
          </w:p>
        </w:tc>
        <w:tc>
          <w:tcPr>
            <w:tcW w:w="1701" w:type="dxa"/>
          </w:tcPr>
          <w:p w14:paraId="64623E5A"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Stage II</w:t>
            </w:r>
          </w:p>
        </w:tc>
        <w:tc>
          <w:tcPr>
            <w:tcW w:w="1842" w:type="dxa"/>
          </w:tcPr>
          <w:p w14:paraId="27FEFB2F"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No secretion</w:t>
            </w:r>
          </w:p>
        </w:tc>
        <w:tc>
          <w:tcPr>
            <w:tcW w:w="1418" w:type="dxa"/>
          </w:tcPr>
          <w:p w14:paraId="7BF6F08B" w14:textId="77777777" w:rsidR="00DF042E" w:rsidRPr="00DF042E" w:rsidRDefault="00DF042E" w:rsidP="00DF042E">
            <w:pPr>
              <w:spacing w:line="240" w:lineRule="auto"/>
              <w:jc w:val="center"/>
              <w:rPr>
                <w:rFonts w:ascii="Palatino Linotype" w:hAnsi="Palatino Linotype"/>
                <w:snapToGrid w:val="0"/>
                <w:sz w:val="20"/>
                <w:szCs w:val="22"/>
                <w:lang w:bidi="en-US"/>
              </w:rPr>
            </w:pPr>
            <w:r w:rsidRPr="00DF042E">
              <w:rPr>
                <w:rFonts w:ascii="Palatino Linotype" w:hAnsi="Palatino Linotype"/>
                <w:snapToGrid w:val="0"/>
                <w:sz w:val="20"/>
                <w:szCs w:val="22"/>
                <w:lang w:bidi="en-US"/>
              </w:rPr>
              <w:t>1+</w:t>
            </w:r>
          </w:p>
        </w:tc>
      </w:tr>
    </w:tbl>
    <w:p w14:paraId="3049B55C" w14:textId="77777777" w:rsidR="00DF042E" w:rsidRDefault="00DF042E" w:rsidP="00A71D74">
      <w:pPr>
        <w:pStyle w:val="MDPI21heading1"/>
        <w:jc w:val="both"/>
        <w:rPr>
          <w:b w:val="0"/>
        </w:rPr>
      </w:pPr>
    </w:p>
    <w:p w14:paraId="16BF4F35" w14:textId="2612A81F" w:rsidR="00A71D74" w:rsidRPr="00F12D7B" w:rsidRDefault="00A71D74" w:rsidP="00A71D74">
      <w:pPr>
        <w:pStyle w:val="MDPI21heading1"/>
        <w:jc w:val="both"/>
        <w:rPr>
          <w:b w:val="0"/>
        </w:rPr>
      </w:pPr>
      <w:r w:rsidRPr="00F12D7B">
        <w:rPr>
          <w:b w:val="0"/>
        </w:rPr>
        <w:t>The project was approved by the local Ethics Committee and informed consent was signed by each patient enrolled in the study. Primary ACC cultures were obtained according to the previously published procedure [</w:t>
      </w:r>
      <w:r w:rsidR="00277FB1">
        <w:rPr>
          <w:b w:val="0"/>
        </w:rPr>
        <w:t>41</w:t>
      </w:r>
      <w:r w:rsidRPr="00F12D7B">
        <w:rPr>
          <w:b w:val="0"/>
        </w:rPr>
        <w:t>]. The adrenal origin of primary cells was confirmed by the positivity to the Steroidogenic Factor 1 gene expression [</w:t>
      </w:r>
      <w:r w:rsidR="00277FB1">
        <w:rPr>
          <w:b w:val="0"/>
        </w:rPr>
        <w:t>37</w:t>
      </w:r>
      <w:r w:rsidR="00012E83" w:rsidRPr="00F12D7B">
        <w:rPr>
          <w:b w:val="0"/>
        </w:rPr>
        <w:t xml:space="preserve">, </w:t>
      </w:r>
      <w:r w:rsidR="00277FB1">
        <w:rPr>
          <w:b w:val="0"/>
        </w:rPr>
        <w:t>42</w:t>
      </w:r>
      <w:r w:rsidRPr="00F12D7B">
        <w:rPr>
          <w:b w:val="0"/>
        </w:rPr>
        <w:t>].</w:t>
      </w:r>
    </w:p>
    <w:p w14:paraId="444E745A" w14:textId="77777777" w:rsidR="00A71D74" w:rsidRPr="00F12D7B" w:rsidRDefault="00A71D74" w:rsidP="00A71D74">
      <w:pPr>
        <w:pStyle w:val="MDPI21heading1"/>
        <w:jc w:val="both"/>
        <w:rPr>
          <w:b w:val="0"/>
        </w:rPr>
      </w:pPr>
    </w:p>
    <w:p w14:paraId="10D28135" w14:textId="77777777" w:rsidR="00A71D74" w:rsidRPr="00F12D7B" w:rsidRDefault="00A71D74" w:rsidP="00A71D74">
      <w:pPr>
        <w:pStyle w:val="MDPI22heading2"/>
      </w:pPr>
      <w:r w:rsidRPr="00F12D7B">
        <w:t>4.3. Cell viability assay</w:t>
      </w:r>
    </w:p>
    <w:p w14:paraId="76B37FEE" w14:textId="77777777" w:rsidR="00A71D74" w:rsidRPr="00F12D7B" w:rsidRDefault="00A71D74" w:rsidP="00A71D74">
      <w:pPr>
        <w:pStyle w:val="MDPI21heading1"/>
        <w:jc w:val="both"/>
        <w:rPr>
          <w:b w:val="0"/>
        </w:rPr>
      </w:pPr>
      <w:r w:rsidRPr="00F12D7B">
        <w:rPr>
          <w:b w:val="0"/>
        </w:rPr>
        <w:t>Cell viability was evaluated by 3-(4,5-Dimethyl-2-thiazol)-2,5-diphenyl-2H-tetrazolium bromide (MTT) dye reduction assay according to the manufacturer protocol (Sigma Aldrich). Drug- or vehicle-treated cells were incubated with MTT dye (at final concentration of 0.5mg/mL) and solubilized by DMSO. Absorbance was measured by a spectrophotometer at 570 nm.</w:t>
      </w:r>
    </w:p>
    <w:p w14:paraId="5F3FB7B5" w14:textId="77777777" w:rsidR="00A71D74" w:rsidRPr="00F12D7B" w:rsidRDefault="00A71D74" w:rsidP="00A71D74">
      <w:pPr>
        <w:pStyle w:val="MDPI21heading1"/>
        <w:jc w:val="both"/>
        <w:rPr>
          <w:b w:val="0"/>
        </w:rPr>
      </w:pPr>
    </w:p>
    <w:p w14:paraId="2A778A79" w14:textId="77777777" w:rsidR="00A71D74" w:rsidRPr="00F12D7B" w:rsidRDefault="00A71D74" w:rsidP="00A71D74">
      <w:pPr>
        <w:pStyle w:val="MDPI22heading2"/>
      </w:pPr>
      <w:r w:rsidRPr="00F12D7B">
        <w:lastRenderedPageBreak/>
        <w:t>4.4. Cell treatments</w:t>
      </w:r>
    </w:p>
    <w:p w14:paraId="47081721" w14:textId="77777777" w:rsidR="00A71D74" w:rsidRPr="00F12D7B" w:rsidRDefault="00A71D74" w:rsidP="00A71D74">
      <w:pPr>
        <w:pStyle w:val="MDPI21heading1"/>
        <w:jc w:val="both"/>
        <w:rPr>
          <w:b w:val="0"/>
        </w:rPr>
      </w:pPr>
      <w:r w:rsidRPr="00F12D7B">
        <w:rPr>
          <w:b w:val="0"/>
        </w:rPr>
        <w:t>Cells were plated in 96 wells-plate at the concentration of 6x103 cells/well for NCI-H295R and HAC-15 and 5x103 cells/well for SW13, MUC-1 and ACC primary cultures. For the concentration-response curves, cells were exposed to increasing concentrations of trabectedin for different time, according to the respective doubling time. NCI-H295R cells line and ACC primary cultures were exposed to trabectedin (0.0625 – 0.75 nM) for 4 days, while SW13 cell treatment lasted for 3 days. HAC-15 cells were treated with increasing concentration of trabectedin (0.125 – 1.5 nM) for 6 days. Finally, MUC-1 were exposed to trabectedin (0.125 – 2.0 nM) for 5 days.</w:t>
      </w:r>
    </w:p>
    <w:p w14:paraId="1C6C184B" w14:textId="77777777" w:rsidR="00A71D74" w:rsidRPr="00F12D7B" w:rsidRDefault="00A71D74" w:rsidP="00A71D74">
      <w:pPr>
        <w:pStyle w:val="MDPI21heading1"/>
        <w:jc w:val="both"/>
        <w:rPr>
          <w:b w:val="0"/>
        </w:rPr>
      </w:pPr>
    </w:p>
    <w:p w14:paraId="79ECBDC6" w14:textId="77777777" w:rsidR="00A71D74" w:rsidRPr="00F12D7B" w:rsidRDefault="00A71D74" w:rsidP="00A71D74">
      <w:pPr>
        <w:pStyle w:val="MDPI22heading2"/>
      </w:pPr>
      <w:r w:rsidRPr="00F12D7B">
        <w:t>4.5. Drug combination experiments</w:t>
      </w:r>
    </w:p>
    <w:p w14:paraId="0A394E8B" w14:textId="0A197776" w:rsidR="00A71D74" w:rsidRPr="00F12D7B" w:rsidRDefault="00A71D74" w:rsidP="00A71D74">
      <w:pPr>
        <w:pStyle w:val="MDPI21heading1"/>
        <w:jc w:val="both"/>
        <w:rPr>
          <w:b w:val="0"/>
        </w:rPr>
      </w:pPr>
      <w:r w:rsidRPr="00F12D7B">
        <w:rPr>
          <w:b w:val="0"/>
        </w:rPr>
        <w:t>Trabectedin and mitotane combination experiments were performed to evaluate their interaction on NCI-H295R cell viability, according to Chou and Talaly method [</w:t>
      </w:r>
      <w:r w:rsidR="00277FB1">
        <w:rPr>
          <w:b w:val="0"/>
        </w:rPr>
        <w:t>43</w:t>
      </w:r>
      <w:r w:rsidRPr="00F12D7B">
        <w:rPr>
          <w:b w:val="0"/>
        </w:rPr>
        <w:t xml:space="preserve">]. NCI-H295R were treated for 4 days with trabectedin (0.018 – 1.2 nM) and mitotane (0.18 – 12 </w:t>
      </w:r>
      <w:r w:rsidR="00FF5074" w:rsidRPr="00F12D7B">
        <w:rPr>
          <w:b w:val="0"/>
        </w:rPr>
        <w:t>µ</w:t>
      </w:r>
      <w:r w:rsidRPr="00F12D7B">
        <w:rPr>
          <w:b w:val="0"/>
        </w:rPr>
        <w:t>M) alone or in combination with a fixed ratio (trabectedin / mitotane = 1 / 10000), as recommended for the most efficient data analysis [</w:t>
      </w:r>
      <w:r w:rsidR="00277FB1">
        <w:rPr>
          <w:b w:val="0"/>
        </w:rPr>
        <w:t>44</w:t>
      </w:r>
      <w:r w:rsidRPr="00F12D7B">
        <w:rPr>
          <w:b w:val="0"/>
        </w:rPr>
        <w:t>]. Cells were analyzed for cell viability using MTT. Data were then converted to Fraction affected (Fa, range from 0 to 1 where Fa = 0 indicating 100% of cell viability and Fa = 1 indicating 0% of cell viability) and analyzed using the CompuSyn software (ComboSyn inc. Paramus, NJ, USA) to calculate the Combination Index (CI), being the CI value &lt; 0.9 an indication of synergism, a CI = 09-1.1 an indication of additive effect and CI &gt; 1.1 and indication of antagonism.</w:t>
      </w:r>
    </w:p>
    <w:p w14:paraId="5386D67A" w14:textId="77777777" w:rsidR="00A71D74" w:rsidRPr="00F12D7B" w:rsidRDefault="00A71D74" w:rsidP="00A71D74">
      <w:pPr>
        <w:pStyle w:val="MDPI21heading1"/>
        <w:jc w:val="both"/>
        <w:rPr>
          <w:b w:val="0"/>
        </w:rPr>
      </w:pPr>
    </w:p>
    <w:p w14:paraId="76DEF80F" w14:textId="77777777" w:rsidR="00A71D74" w:rsidRPr="00F12D7B" w:rsidRDefault="00A71D74" w:rsidP="00A71D74">
      <w:pPr>
        <w:pStyle w:val="MDPI22heading2"/>
        <w:rPr>
          <w:lang w:val="it-IT"/>
        </w:rPr>
      </w:pPr>
      <w:r w:rsidRPr="00F12D7B">
        <w:rPr>
          <w:lang w:val="it-IT"/>
        </w:rPr>
        <w:t>4.6. Quantitative RT-PCR (qRT-PCR).</w:t>
      </w:r>
    </w:p>
    <w:p w14:paraId="62DF4D4F" w14:textId="0E089255" w:rsidR="00CE1124" w:rsidRDefault="00A71D74" w:rsidP="00A71D74">
      <w:pPr>
        <w:pStyle w:val="MDPI21heading1"/>
        <w:jc w:val="both"/>
        <w:rPr>
          <w:b w:val="0"/>
        </w:rPr>
      </w:pPr>
      <w:r w:rsidRPr="00F12D7B">
        <w:rPr>
          <w:b w:val="0"/>
        </w:rPr>
        <w:t>Total RNA was extracted from cells by RNAeasy kit (Qiagen, Milano, MI, Italy) and 1μg was transcribed into cDNA, using murine leukemia virus reverse transcriptase (Promega Italia, Milano, MI, Italy). Gene expression was evaluated by qRT-PCR (ViiA7, Applied Biosystems, Milano, Italy) using SYBRGreen as fluorochrome, as already described [</w:t>
      </w:r>
      <w:r w:rsidR="00277FB1">
        <w:rPr>
          <w:b w:val="0"/>
        </w:rPr>
        <w:t>45</w:t>
      </w:r>
      <w:r w:rsidRPr="00F12D7B">
        <w:rPr>
          <w:b w:val="0"/>
        </w:rPr>
        <w:t xml:space="preserve">]. Sequences of oligonucleotide primers used were reported in </w:t>
      </w:r>
      <w:r w:rsidRPr="00CE1124">
        <w:rPr>
          <w:b w:val="0"/>
        </w:rPr>
        <w:t xml:space="preserve">Table </w:t>
      </w:r>
      <w:r w:rsidR="00CE1124" w:rsidRPr="00CE1124">
        <w:rPr>
          <w:b w:val="0"/>
        </w:rPr>
        <w:t>3</w:t>
      </w:r>
      <w:r w:rsidRPr="00CE1124">
        <w:rPr>
          <w:b w:val="0"/>
        </w:rPr>
        <w:t>.</w:t>
      </w:r>
      <w:r w:rsidRPr="00F12D7B">
        <w:rPr>
          <w:b w:val="0"/>
        </w:rPr>
        <w:t xml:space="preserve"> </w:t>
      </w:r>
    </w:p>
    <w:p w14:paraId="2BA5C543" w14:textId="77777777" w:rsidR="00CB195D" w:rsidRPr="00CB195D" w:rsidRDefault="00CE1124" w:rsidP="00CB195D">
      <w:pPr>
        <w:pStyle w:val="MDPI21heading1"/>
        <w:jc w:val="both"/>
        <w:rPr>
          <w:snapToGrid/>
          <w:sz w:val="18"/>
          <w:szCs w:val="20"/>
        </w:rPr>
      </w:pPr>
      <w:r>
        <w:rPr>
          <w:snapToGrid/>
          <w:sz w:val="18"/>
          <w:szCs w:val="20"/>
        </w:rPr>
        <w:t>Table 3</w:t>
      </w:r>
      <w:r w:rsidR="00CB195D" w:rsidRPr="00CB195D">
        <w:rPr>
          <w:snapToGrid/>
          <w:sz w:val="18"/>
          <w:szCs w:val="20"/>
        </w:rPr>
        <w:t xml:space="preserve">. </w:t>
      </w:r>
      <w:r w:rsidR="00CB195D" w:rsidRPr="00CB195D">
        <w:rPr>
          <w:b w:val="0"/>
          <w:snapToGrid/>
          <w:sz w:val="18"/>
          <w:szCs w:val="20"/>
        </w:rPr>
        <w:t>Sequences of oligonucleotide primers for qRT-PCR</w:t>
      </w:r>
      <w:r w:rsidR="00CB195D">
        <w:rPr>
          <w:b w:val="0"/>
          <w:snapToGrid/>
          <w:sz w:val="18"/>
          <w:szCs w:val="20"/>
        </w:rPr>
        <w:t>.</w:t>
      </w:r>
    </w:p>
    <w:tbl>
      <w:tblPr>
        <w:tblStyle w:val="Mdeck5tablebodythreelines"/>
        <w:tblW w:w="0" w:type="auto"/>
        <w:tblLook w:val="00A0" w:firstRow="1" w:lastRow="0" w:firstColumn="1" w:lastColumn="0" w:noHBand="0" w:noVBand="0"/>
      </w:tblPr>
      <w:tblGrid>
        <w:gridCol w:w="2294"/>
        <w:gridCol w:w="398"/>
        <w:gridCol w:w="3856"/>
      </w:tblGrid>
      <w:tr w:rsidR="00CB195D" w:rsidRPr="00CB195D" w14:paraId="6481850A" w14:textId="77777777" w:rsidTr="00CB195D">
        <w:trPr>
          <w:cnfStyle w:val="100000000000" w:firstRow="1" w:lastRow="0" w:firstColumn="0" w:lastColumn="0" w:oddVBand="0" w:evenVBand="0" w:oddHBand="0" w:evenHBand="0" w:firstRowFirstColumn="0" w:firstRowLastColumn="0" w:lastRowFirstColumn="0" w:lastRowLastColumn="0"/>
          <w:trHeight w:val="253"/>
        </w:trPr>
        <w:tc>
          <w:tcPr>
            <w:tcW w:w="2294" w:type="dxa"/>
          </w:tcPr>
          <w:p w14:paraId="118D74F5" w14:textId="77777777" w:rsidR="00CB195D" w:rsidRPr="00CB195D" w:rsidRDefault="00CB195D" w:rsidP="00CB195D">
            <w:pPr>
              <w:spacing w:before="220" w:after="220" w:line="276" w:lineRule="auto"/>
              <w:jc w:val="center"/>
              <w:rPr>
                <w:rFonts w:ascii="Palatino Linotype" w:hAnsi="Palatino Linotype"/>
                <w:b/>
                <w:sz w:val="20"/>
                <w:szCs w:val="22"/>
                <w:lang w:bidi="en-US"/>
              </w:rPr>
            </w:pPr>
            <w:r w:rsidRPr="00CB195D">
              <w:rPr>
                <w:rFonts w:ascii="Palatino Linotype" w:hAnsi="Palatino Linotype"/>
                <w:b/>
                <w:sz w:val="20"/>
                <w:szCs w:val="22"/>
                <w:lang w:bidi="en-US"/>
              </w:rPr>
              <w:t>Gene</w:t>
            </w:r>
          </w:p>
        </w:tc>
        <w:tc>
          <w:tcPr>
            <w:tcW w:w="398" w:type="dxa"/>
          </w:tcPr>
          <w:p w14:paraId="7ACC97C4" w14:textId="77777777" w:rsidR="00CB195D" w:rsidRPr="00CB195D" w:rsidRDefault="00CB195D" w:rsidP="00CB195D">
            <w:pPr>
              <w:spacing w:before="100" w:beforeAutospacing="1" w:after="100" w:afterAutospacing="1" w:line="276" w:lineRule="auto"/>
              <w:jc w:val="center"/>
              <w:rPr>
                <w:rFonts w:ascii="Palatino Linotype" w:hAnsi="Palatino Linotype"/>
                <w:b/>
                <w:sz w:val="20"/>
                <w:szCs w:val="22"/>
                <w:lang w:bidi="en-US"/>
              </w:rPr>
            </w:pPr>
          </w:p>
        </w:tc>
        <w:tc>
          <w:tcPr>
            <w:tcW w:w="3856" w:type="dxa"/>
            <w:hideMark/>
          </w:tcPr>
          <w:p w14:paraId="15E74652" w14:textId="77777777" w:rsidR="00CB195D" w:rsidRPr="00CB195D" w:rsidRDefault="00CB195D" w:rsidP="00CB195D">
            <w:pPr>
              <w:spacing w:before="220" w:after="220" w:line="276" w:lineRule="auto"/>
              <w:jc w:val="center"/>
              <w:rPr>
                <w:rFonts w:ascii="Palatino Linotype" w:hAnsi="Palatino Linotype"/>
                <w:b/>
                <w:sz w:val="20"/>
                <w:szCs w:val="22"/>
                <w:lang w:bidi="en-US"/>
              </w:rPr>
            </w:pPr>
            <w:r w:rsidRPr="00CB195D">
              <w:rPr>
                <w:rFonts w:ascii="Palatino Linotype" w:hAnsi="Palatino Linotype"/>
                <w:b/>
                <w:sz w:val="20"/>
                <w:szCs w:val="22"/>
                <w:lang w:bidi="en-US"/>
              </w:rPr>
              <w:t>Oligonucleotide Sequence (5’-3’)</w:t>
            </w:r>
          </w:p>
        </w:tc>
      </w:tr>
      <w:tr w:rsidR="00CB195D" w:rsidRPr="00CB195D" w14:paraId="71D6D6E3" w14:textId="77777777" w:rsidTr="005A237F">
        <w:trPr>
          <w:trHeight w:val="628"/>
        </w:trPr>
        <w:tc>
          <w:tcPr>
            <w:tcW w:w="2294" w:type="dxa"/>
            <w:vAlign w:val="top"/>
            <w:hideMark/>
          </w:tcPr>
          <w:p w14:paraId="57D9B4E3"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Β-ACTIN</w:t>
            </w:r>
          </w:p>
        </w:tc>
        <w:tc>
          <w:tcPr>
            <w:tcW w:w="398" w:type="dxa"/>
            <w:vAlign w:val="top"/>
            <w:hideMark/>
          </w:tcPr>
          <w:p w14:paraId="55FD43A7"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701939AD"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hideMark/>
          </w:tcPr>
          <w:p w14:paraId="12C6A427"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TCTTCCAGCCTTCCTTCCTG</w:t>
            </w:r>
            <w:r w:rsidRPr="005A237F">
              <w:rPr>
                <w:rFonts w:ascii="Palatino Linotype" w:hAnsi="Palatino Linotype"/>
                <w:snapToGrid w:val="0"/>
                <w:sz w:val="18"/>
                <w:szCs w:val="18"/>
                <w:lang w:bidi="en-US"/>
              </w:rPr>
              <w:br/>
              <w:t>CAATGCCAGGGTACATGGTG</w:t>
            </w:r>
          </w:p>
          <w:p w14:paraId="69941AD9"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7EE22B55" w14:textId="77777777" w:rsidTr="005A237F">
        <w:trPr>
          <w:trHeight w:val="290"/>
        </w:trPr>
        <w:tc>
          <w:tcPr>
            <w:tcW w:w="2294" w:type="dxa"/>
            <w:vAlign w:val="top"/>
          </w:tcPr>
          <w:p w14:paraId="59FEBD6C"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SF-1</w:t>
            </w:r>
          </w:p>
        </w:tc>
        <w:tc>
          <w:tcPr>
            <w:tcW w:w="398" w:type="dxa"/>
            <w:vAlign w:val="top"/>
          </w:tcPr>
          <w:p w14:paraId="1CB5B4EC"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01EA8FAA"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1E961CA4"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CAGCCTGGATTTGAAGTTCC</w:t>
            </w:r>
          </w:p>
          <w:p w14:paraId="7FD575AD"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TTCGATGAGCAGGTTGTTGC</w:t>
            </w:r>
          </w:p>
          <w:p w14:paraId="3B10643C"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659B814D" w14:textId="77777777" w:rsidTr="005A237F">
        <w:trPr>
          <w:trHeight w:val="303"/>
        </w:trPr>
        <w:tc>
          <w:tcPr>
            <w:tcW w:w="2294" w:type="dxa"/>
            <w:vAlign w:val="top"/>
          </w:tcPr>
          <w:p w14:paraId="45A55E67"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CTNNBIP1</w:t>
            </w:r>
          </w:p>
        </w:tc>
        <w:tc>
          <w:tcPr>
            <w:tcW w:w="398" w:type="dxa"/>
            <w:vAlign w:val="top"/>
          </w:tcPr>
          <w:p w14:paraId="74237F70"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10DCECB8"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0671FA3B"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TTGACAACGGTGACAGCACT</w:t>
            </w:r>
          </w:p>
          <w:p w14:paraId="5D99636D"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TCAGGCAAACAGGTGCTCAAC</w:t>
            </w:r>
          </w:p>
          <w:p w14:paraId="60883D10"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2EA087CF" w14:textId="77777777" w:rsidTr="005A237F">
        <w:trPr>
          <w:trHeight w:val="303"/>
        </w:trPr>
        <w:tc>
          <w:tcPr>
            <w:tcW w:w="2294" w:type="dxa"/>
            <w:vAlign w:val="top"/>
          </w:tcPr>
          <w:p w14:paraId="19BC55CB"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DKK1</w:t>
            </w:r>
          </w:p>
        </w:tc>
        <w:tc>
          <w:tcPr>
            <w:tcW w:w="398" w:type="dxa"/>
            <w:vAlign w:val="top"/>
          </w:tcPr>
          <w:p w14:paraId="69341905"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0EB0D193"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3064B870"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TAGCACCTTGGATGGGTATT</w:t>
            </w:r>
          </w:p>
          <w:p w14:paraId="230477D5"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ATCCTGAGGCACAGTCTGAT</w:t>
            </w:r>
          </w:p>
          <w:p w14:paraId="7D75E35E"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18474FA3" w14:textId="77777777" w:rsidTr="005A237F">
        <w:trPr>
          <w:trHeight w:val="303"/>
        </w:trPr>
        <w:tc>
          <w:tcPr>
            <w:tcW w:w="2294" w:type="dxa"/>
            <w:vAlign w:val="top"/>
          </w:tcPr>
          <w:p w14:paraId="5F86D103"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MYCC</w:t>
            </w:r>
          </w:p>
        </w:tc>
        <w:tc>
          <w:tcPr>
            <w:tcW w:w="398" w:type="dxa"/>
            <w:vAlign w:val="top"/>
          </w:tcPr>
          <w:p w14:paraId="520D3E80"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6123893E"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2B54FA13"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CGTCCTCGGATTCTCTGCTC</w:t>
            </w:r>
          </w:p>
          <w:p w14:paraId="760A699D"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CTTCGCTTACCAGAGAGTCGCT</w:t>
            </w:r>
          </w:p>
          <w:p w14:paraId="0882AD84"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3CFDD388" w14:textId="77777777" w:rsidTr="005A237F">
        <w:trPr>
          <w:trHeight w:val="309"/>
        </w:trPr>
        <w:tc>
          <w:tcPr>
            <w:tcW w:w="2294" w:type="dxa"/>
            <w:vAlign w:val="top"/>
          </w:tcPr>
          <w:p w14:paraId="02C6D9EA"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SOX17</w:t>
            </w:r>
          </w:p>
        </w:tc>
        <w:tc>
          <w:tcPr>
            <w:tcW w:w="398" w:type="dxa"/>
            <w:vAlign w:val="top"/>
          </w:tcPr>
          <w:p w14:paraId="21A2943E"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751DC4C5"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1212BDE5"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GGTGTGAATCTCCCCGACAG</w:t>
            </w:r>
          </w:p>
          <w:p w14:paraId="740BA546"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TAATATACCGCGGAGCTGGC</w:t>
            </w:r>
          </w:p>
          <w:p w14:paraId="7DD05946"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7ED4FCA9" w14:textId="77777777" w:rsidTr="005A237F">
        <w:trPr>
          <w:trHeight w:val="735"/>
        </w:trPr>
        <w:tc>
          <w:tcPr>
            <w:tcW w:w="2294" w:type="dxa"/>
            <w:vAlign w:val="top"/>
          </w:tcPr>
          <w:p w14:paraId="70A8E10B"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lastRenderedPageBreak/>
              <w:t>TCF7</w:t>
            </w:r>
          </w:p>
        </w:tc>
        <w:tc>
          <w:tcPr>
            <w:tcW w:w="398" w:type="dxa"/>
            <w:vAlign w:val="top"/>
          </w:tcPr>
          <w:p w14:paraId="19CE5EA1"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1D11153E"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33689B54"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GTAAACAGACCCCCGCCATC</w:t>
            </w:r>
          </w:p>
          <w:p w14:paraId="4F1BBB02"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GCCCTCCAACCAAGAAACCT</w:t>
            </w:r>
          </w:p>
          <w:p w14:paraId="75E21F3A" w14:textId="77777777" w:rsidR="00CB195D" w:rsidRPr="005A237F" w:rsidRDefault="00CB195D" w:rsidP="005A237F">
            <w:pPr>
              <w:spacing w:line="240" w:lineRule="auto"/>
              <w:jc w:val="center"/>
              <w:rPr>
                <w:rFonts w:ascii="Palatino Linotype" w:hAnsi="Palatino Linotype"/>
                <w:snapToGrid w:val="0"/>
                <w:sz w:val="18"/>
                <w:szCs w:val="18"/>
                <w:lang w:bidi="en-US"/>
              </w:rPr>
            </w:pPr>
          </w:p>
        </w:tc>
      </w:tr>
      <w:tr w:rsidR="00CB195D" w:rsidRPr="00CB195D" w14:paraId="6F4A2AD7" w14:textId="77777777" w:rsidTr="005A237F">
        <w:trPr>
          <w:trHeight w:val="309"/>
        </w:trPr>
        <w:tc>
          <w:tcPr>
            <w:tcW w:w="2294" w:type="dxa"/>
            <w:vAlign w:val="top"/>
          </w:tcPr>
          <w:p w14:paraId="4BEDE4B1"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WISP1</w:t>
            </w:r>
          </w:p>
        </w:tc>
        <w:tc>
          <w:tcPr>
            <w:tcW w:w="398" w:type="dxa"/>
            <w:vAlign w:val="top"/>
          </w:tcPr>
          <w:p w14:paraId="006B398A"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F</w:t>
            </w:r>
          </w:p>
          <w:p w14:paraId="2C8B1171"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R</w:t>
            </w:r>
          </w:p>
        </w:tc>
        <w:tc>
          <w:tcPr>
            <w:tcW w:w="3856" w:type="dxa"/>
          </w:tcPr>
          <w:p w14:paraId="6E28D944"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ACCGCCCGAGGTACGC</w:t>
            </w:r>
          </w:p>
          <w:p w14:paraId="3023FA68" w14:textId="77777777" w:rsidR="00CB195D" w:rsidRPr="005A237F" w:rsidRDefault="00CB195D" w:rsidP="005A237F">
            <w:pPr>
              <w:spacing w:line="240" w:lineRule="auto"/>
              <w:jc w:val="center"/>
              <w:rPr>
                <w:rFonts w:ascii="Palatino Linotype" w:hAnsi="Palatino Linotype"/>
                <w:snapToGrid w:val="0"/>
                <w:sz w:val="18"/>
                <w:szCs w:val="18"/>
                <w:lang w:bidi="en-US"/>
              </w:rPr>
            </w:pPr>
            <w:r w:rsidRPr="005A237F">
              <w:rPr>
                <w:rFonts w:ascii="Palatino Linotype" w:hAnsi="Palatino Linotype"/>
                <w:snapToGrid w:val="0"/>
                <w:sz w:val="18"/>
                <w:szCs w:val="18"/>
                <w:lang w:bidi="en-US"/>
              </w:rPr>
              <w:t>AAGGACTGGCCGTTGTTGTA</w:t>
            </w:r>
          </w:p>
        </w:tc>
      </w:tr>
    </w:tbl>
    <w:p w14:paraId="0B5A69C1" w14:textId="77777777" w:rsidR="00CB195D" w:rsidRDefault="00CB195D" w:rsidP="00A71D74">
      <w:pPr>
        <w:pStyle w:val="MDPI21heading1"/>
        <w:jc w:val="both"/>
        <w:rPr>
          <w:b w:val="0"/>
        </w:rPr>
      </w:pPr>
    </w:p>
    <w:p w14:paraId="2697B71B" w14:textId="79E27DA6" w:rsidR="00A71D74" w:rsidRPr="00F12D7B" w:rsidRDefault="00A71D74" w:rsidP="00A71D74">
      <w:pPr>
        <w:pStyle w:val="MDPI21heading1"/>
        <w:jc w:val="both"/>
        <w:rPr>
          <w:b w:val="0"/>
        </w:rPr>
      </w:pPr>
      <w:r w:rsidRPr="00F12D7B">
        <w:rPr>
          <w:b w:val="0"/>
        </w:rPr>
        <w:t>Reactions were performed under the following conditions: 1 cycle at 95°C for 10 min, 40 cycles at 95°C for 15 s, 62°C for 1 min. Differences of the threshold cycle (Ct) values between the β-actin housekeeping gene and the gene of interest (ΔCt) were then calculated, as an indicator of difference in the amount of mRNA expressed [</w:t>
      </w:r>
      <w:r w:rsidR="00277FB1">
        <w:rPr>
          <w:b w:val="0"/>
        </w:rPr>
        <w:t>46</w:t>
      </w:r>
      <w:r w:rsidRPr="00F12D7B">
        <w:rPr>
          <w:b w:val="0"/>
        </w:rPr>
        <w:t>].</w:t>
      </w:r>
    </w:p>
    <w:p w14:paraId="25583DCF" w14:textId="77777777" w:rsidR="00A71D74" w:rsidRPr="00F12D7B" w:rsidRDefault="00A71D74" w:rsidP="00A71D74">
      <w:pPr>
        <w:pStyle w:val="MDPI21heading1"/>
        <w:jc w:val="both"/>
        <w:rPr>
          <w:b w:val="0"/>
        </w:rPr>
      </w:pPr>
    </w:p>
    <w:p w14:paraId="4547EE1D" w14:textId="77777777" w:rsidR="00A71D74" w:rsidRPr="00F12D7B" w:rsidRDefault="00A71D74" w:rsidP="00A71D74">
      <w:pPr>
        <w:pStyle w:val="MDPI22heading2"/>
      </w:pPr>
      <w:r w:rsidRPr="00F12D7B">
        <w:t xml:space="preserve">4.7. WNT/ </w:t>
      </w:r>
      <w:r w:rsidRPr="00F12D7B">
        <w:rPr>
          <w:lang w:val="it-IT"/>
        </w:rPr>
        <w:t>β</w:t>
      </w:r>
      <w:r w:rsidRPr="00F12D7B">
        <w:t xml:space="preserve"> catenin pathway gene profile</w:t>
      </w:r>
    </w:p>
    <w:p w14:paraId="7386A60C" w14:textId="77777777" w:rsidR="00A71D74" w:rsidRPr="00F12D7B" w:rsidRDefault="00A71D74" w:rsidP="00A71D74">
      <w:pPr>
        <w:pStyle w:val="MDPI21heading1"/>
        <w:jc w:val="both"/>
        <w:rPr>
          <w:b w:val="0"/>
        </w:rPr>
      </w:pPr>
      <w:r w:rsidRPr="00F12D7B">
        <w:rPr>
          <w:b w:val="0"/>
        </w:rPr>
        <w:t>Total RNA was extracted from vehicle-treated NCI-H295R cells  and from cells treated with the  IC50 of trabectedin for 4 days, using RNAeasy kit (Qiagen). cDNA was synthesized from 0.5μg RNA using RT2 First Strand Kit (Qiagen) and the mixture was added into a 96-wells WNT pathway signaling RT2 profiler array, according to the manufacturer’s instructions (Qiagen). Thermal cycling was performed using ViiA7, with an initial denaturation at 95 °C for 10 min, 40 cycles at 95 °C for 15 s, and 60 °C for 1 min. Qiagen’s online Web analysis tool was used to calculate the fold change in trabectedin-treated vs untreated cells, by determining the ratio of mRNA levels to control values using the Δ threshold cycle (Ct) method (2−ΔΔCt). All data were normalized to an average of five housekeeping genes. Validation of selected genes was performed by q-RT-PCR as previous described.</w:t>
      </w:r>
    </w:p>
    <w:p w14:paraId="0F9D208F" w14:textId="77777777" w:rsidR="00A71D74" w:rsidRPr="00F12D7B" w:rsidRDefault="00A71D74" w:rsidP="00A71D74">
      <w:pPr>
        <w:pStyle w:val="MDPI21heading1"/>
        <w:jc w:val="both"/>
        <w:rPr>
          <w:b w:val="0"/>
        </w:rPr>
      </w:pPr>
    </w:p>
    <w:p w14:paraId="19F6CDB7" w14:textId="77777777" w:rsidR="00A71D74" w:rsidRPr="00F12D7B" w:rsidRDefault="00A71D74" w:rsidP="00A71D74">
      <w:pPr>
        <w:pStyle w:val="MDPI22heading2"/>
      </w:pPr>
      <w:r w:rsidRPr="00F12D7B">
        <w:t>4.8. Western Blot</w:t>
      </w:r>
    </w:p>
    <w:p w14:paraId="2C3EAF10" w14:textId="00FB410B" w:rsidR="00A71D74" w:rsidRDefault="00A71D74" w:rsidP="00A71D74">
      <w:pPr>
        <w:pStyle w:val="MDPI21heading1"/>
        <w:jc w:val="both"/>
        <w:rPr>
          <w:b w:val="0"/>
        </w:rPr>
      </w:pPr>
      <w:r w:rsidRPr="00F12D7B">
        <w:rPr>
          <w:b w:val="0"/>
        </w:rPr>
        <w:t>NCI-H295R cells were treated with IC50 value of trabectedin for 4 days. Whole cell lysates were prepared in ice-cold buffer with protease and phosphatase inhibitor cocktails (Roche, Milano, Italy) as previously described [25]. Fractionated cell lysates were prepared according to [</w:t>
      </w:r>
      <w:r w:rsidR="00277FB1">
        <w:rPr>
          <w:b w:val="0"/>
        </w:rPr>
        <w:t>47</w:t>
      </w:r>
      <w:r w:rsidRPr="00F12D7B">
        <w:rPr>
          <w:b w:val="0"/>
        </w:rPr>
        <w:t xml:space="preserve">]. Equal amounts of protein were separated by electrophoresis on a 4-12% NuPAGE Bis-Tris Gel System (Life Technologies, Milano, Italy) and electroblotted to a nitrocellulose membrane. Primary and secondary </w:t>
      </w:r>
      <w:r w:rsidR="00CE1124">
        <w:rPr>
          <w:b w:val="0"/>
        </w:rPr>
        <w:t>antibodies are listed in Table 4</w:t>
      </w:r>
      <w:r w:rsidRPr="00F12D7B">
        <w:rPr>
          <w:b w:val="0"/>
        </w:rPr>
        <w:t>. Signal was detected and quantified with the Odyssey® CLx Infrared Imaging System (LI-COR Biosciences, Lincoln, U.S.A.).</w:t>
      </w:r>
    </w:p>
    <w:p w14:paraId="7BCEBA85" w14:textId="77777777" w:rsidR="005A237F" w:rsidRDefault="005A237F" w:rsidP="00A71D74">
      <w:pPr>
        <w:pStyle w:val="MDPI21heading1"/>
        <w:jc w:val="both"/>
        <w:rPr>
          <w:b w:val="0"/>
        </w:rPr>
      </w:pPr>
    </w:p>
    <w:p w14:paraId="44D68BFC" w14:textId="77777777" w:rsidR="005A237F" w:rsidRDefault="005A237F" w:rsidP="00A71D74">
      <w:pPr>
        <w:pStyle w:val="MDPI21heading1"/>
        <w:jc w:val="both"/>
        <w:rPr>
          <w:b w:val="0"/>
        </w:rPr>
      </w:pPr>
    </w:p>
    <w:p w14:paraId="75C50C33" w14:textId="77777777" w:rsidR="005A237F" w:rsidRDefault="005A237F" w:rsidP="00A71D74">
      <w:pPr>
        <w:pStyle w:val="MDPI21heading1"/>
        <w:jc w:val="both"/>
        <w:rPr>
          <w:b w:val="0"/>
        </w:rPr>
      </w:pPr>
    </w:p>
    <w:p w14:paraId="2371EF93" w14:textId="77777777" w:rsidR="005A237F" w:rsidRDefault="005A237F" w:rsidP="00A71D74">
      <w:pPr>
        <w:pStyle w:val="MDPI21heading1"/>
        <w:jc w:val="both"/>
        <w:rPr>
          <w:b w:val="0"/>
        </w:rPr>
      </w:pPr>
    </w:p>
    <w:p w14:paraId="6500955E" w14:textId="77777777" w:rsidR="005A237F" w:rsidRDefault="005A237F" w:rsidP="00A71D74">
      <w:pPr>
        <w:pStyle w:val="MDPI21heading1"/>
        <w:jc w:val="both"/>
        <w:rPr>
          <w:b w:val="0"/>
        </w:rPr>
      </w:pPr>
    </w:p>
    <w:p w14:paraId="626F357A" w14:textId="77777777" w:rsidR="005A237F" w:rsidRDefault="005A237F" w:rsidP="00A71D74">
      <w:pPr>
        <w:pStyle w:val="MDPI21heading1"/>
        <w:jc w:val="both"/>
        <w:rPr>
          <w:b w:val="0"/>
        </w:rPr>
      </w:pPr>
    </w:p>
    <w:p w14:paraId="5F636C99" w14:textId="77777777" w:rsidR="005A237F" w:rsidRDefault="005A237F" w:rsidP="00A71D74">
      <w:pPr>
        <w:pStyle w:val="MDPI21heading1"/>
        <w:jc w:val="both"/>
        <w:rPr>
          <w:b w:val="0"/>
        </w:rPr>
      </w:pPr>
    </w:p>
    <w:p w14:paraId="044A1D46" w14:textId="77777777" w:rsidR="005A237F" w:rsidRDefault="005A237F" w:rsidP="00A71D74">
      <w:pPr>
        <w:pStyle w:val="MDPI21heading1"/>
        <w:jc w:val="both"/>
        <w:rPr>
          <w:b w:val="0"/>
        </w:rPr>
      </w:pPr>
    </w:p>
    <w:p w14:paraId="2A51CB4A" w14:textId="77777777" w:rsidR="005A237F" w:rsidRDefault="005A237F" w:rsidP="00A71D74">
      <w:pPr>
        <w:pStyle w:val="MDPI21heading1"/>
        <w:jc w:val="both"/>
        <w:rPr>
          <w:b w:val="0"/>
        </w:rPr>
      </w:pPr>
    </w:p>
    <w:p w14:paraId="1EF0ACF4" w14:textId="77777777" w:rsidR="005A237F" w:rsidRDefault="005A237F" w:rsidP="00A71D74">
      <w:pPr>
        <w:pStyle w:val="MDPI21heading1"/>
        <w:jc w:val="both"/>
        <w:rPr>
          <w:b w:val="0"/>
        </w:rPr>
      </w:pPr>
    </w:p>
    <w:p w14:paraId="1227C2AB" w14:textId="77777777" w:rsidR="00CE1124" w:rsidRPr="00CE1124" w:rsidRDefault="00CE1124" w:rsidP="00A71D74">
      <w:pPr>
        <w:pStyle w:val="MDPI21heading1"/>
        <w:jc w:val="both"/>
        <w:rPr>
          <w:snapToGrid/>
          <w:sz w:val="18"/>
          <w:szCs w:val="20"/>
        </w:rPr>
      </w:pPr>
      <w:r>
        <w:rPr>
          <w:snapToGrid/>
          <w:sz w:val="18"/>
          <w:szCs w:val="20"/>
        </w:rPr>
        <w:t>Table 4</w:t>
      </w:r>
      <w:r w:rsidRPr="00CB195D">
        <w:rPr>
          <w:snapToGrid/>
          <w:sz w:val="18"/>
          <w:szCs w:val="20"/>
        </w:rPr>
        <w:t xml:space="preserve">. </w:t>
      </w:r>
      <w:r w:rsidRPr="00CE1124">
        <w:rPr>
          <w:b w:val="0"/>
          <w:snapToGrid/>
          <w:sz w:val="18"/>
          <w:szCs w:val="20"/>
        </w:rPr>
        <w:t>Primary and secondary antibodies</w:t>
      </w:r>
    </w:p>
    <w:tbl>
      <w:tblPr>
        <w:tblStyle w:val="Mdeck5tablebodythreelines"/>
        <w:tblW w:w="0" w:type="auto"/>
        <w:jc w:val="left"/>
        <w:tblLook w:val="00A0" w:firstRow="1" w:lastRow="0" w:firstColumn="1" w:lastColumn="0" w:noHBand="0" w:noVBand="0"/>
      </w:tblPr>
      <w:tblGrid>
        <w:gridCol w:w="2268"/>
        <w:gridCol w:w="2230"/>
        <w:gridCol w:w="2660"/>
        <w:gridCol w:w="1686"/>
      </w:tblGrid>
      <w:tr w:rsidR="00CE1124" w:rsidRPr="002606AC" w14:paraId="2D37C736" w14:textId="77777777" w:rsidTr="00CE1124">
        <w:trPr>
          <w:cnfStyle w:val="100000000000" w:firstRow="1" w:lastRow="0" w:firstColumn="0" w:lastColumn="0" w:oddVBand="0" w:evenVBand="0" w:oddHBand="0" w:evenHBand="0" w:firstRowFirstColumn="0" w:firstRowLastColumn="0" w:lastRowFirstColumn="0" w:lastRowLastColumn="0"/>
          <w:trHeight w:val="977"/>
          <w:jc w:val="left"/>
        </w:trPr>
        <w:tc>
          <w:tcPr>
            <w:tcW w:w="2268" w:type="dxa"/>
          </w:tcPr>
          <w:p w14:paraId="1A63CC2D"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Target</w:t>
            </w:r>
          </w:p>
        </w:tc>
        <w:tc>
          <w:tcPr>
            <w:tcW w:w="2230" w:type="dxa"/>
            <w:hideMark/>
          </w:tcPr>
          <w:p w14:paraId="019C9AB7"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Characteristic</w:t>
            </w:r>
          </w:p>
        </w:tc>
        <w:tc>
          <w:tcPr>
            <w:tcW w:w="2660" w:type="dxa"/>
            <w:hideMark/>
          </w:tcPr>
          <w:p w14:paraId="6FE81314"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Company</w:t>
            </w:r>
          </w:p>
        </w:tc>
        <w:tc>
          <w:tcPr>
            <w:tcW w:w="1686" w:type="dxa"/>
          </w:tcPr>
          <w:p w14:paraId="3530D3BD" w14:textId="77777777" w:rsidR="00CE1124" w:rsidRPr="00CE1124" w:rsidRDefault="00CE1124" w:rsidP="00CE1124">
            <w:pPr>
              <w:spacing w:before="220" w:after="220" w:line="276" w:lineRule="auto"/>
              <w:jc w:val="center"/>
              <w:rPr>
                <w:rFonts w:ascii="Palatino Linotype" w:hAnsi="Palatino Linotype"/>
                <w:b/>
                <w:sz w:val="20"/>
                <w:szCs w:val="22"/>
                <w:lang w:bidi="en-US"/>
              </w:rPr>
            </w:pPr>
            <w:r w:rsidRPr="00CE1124">
              <w:rPr>
                <w:rFonts w:ascii="Palatino Linotype" w:hAnsi="Palatino Linotype"/>
                <w:b/>
                <w:sz w:val="20"/>
                <w:szCs w:val="22"/>
                <w:lang w:bidi="en-US"/>
              </w:rPr>
              <w:t>Final concentration</w:t>
            </w:r>
          </w:p>
        </w:tc>
      </w:tr>
      <w:tr w:rsidR="00CE1124" w:rsidRPr="0067734B" w14:paraId="41246503" w14:textId="77777777" w:rsidTr="00CE1124">
        <w:trPr>
          <w:trHeight w:val="290"/>
          <w:jc w:val="left"/>
        </w:trPr>
        <w:tc>
          <w:tcPr>
            <w:tcW w:w="2268" w:type="dxa"/>
            <w:hideMark/>
          </w:tcPr>
          <w:p w14:paraId="4FE23C61"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β-CATENIN</w:t>
            </w:r>
          </w:p>
        </w:tc>
        <w:tc>
          <w:tcPr>
            <w:tcW w:w="2230" w:type="dxa"/>
            <w:hideMark/>
          </w:tcPr>
          <w:p w14:paraId="3533464E"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Rabbit mAb</w:t>
            </w:r>
          </w:p>
        </w:tc>
        <w:tc>
          <w:tcPr>
            <w:tcW w:w="2660" w:type="dxa"/>
          </w:tcPr>
          <w:p w14:paraId="0B1CFBDA"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Cell Signaling Tecnology</w:t>
            </w:r>
          </w:p>
          <w:p w14:paraId="71F681AE" w14:textId="77777777" w:rsidR="00CE1124" w:rsidRPr="00CE1124" w:rsidRDefault="00CE1124" w:rsidP="00CE1124">
            <w:pPr>
              <w:spacing w:line="240" w:lineRule="auto"/>
              <w:jc w:val="center"/>
              <w:rPr>
                <w:rFonts w:ascii="Palatino Linotype" w:hAnsi="Palatino Linotype"/>
                <w:snapToGrid w:val="0"/>
                <w:sz w:val="20"/>
                <w:szCs w:val="22"/>
                <w:lang w:bidi="en-US"/>
              </w:rPr>
            </w:pPr>
          </w:p>
        </w:tc>
        <w:tc>
          <w:tcPr>
            <w:tcW w:w="1686" w:type="dxa"/>
          </w:tcPr>
          <w:p w14:paraId="18D9E5DA"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6 ng/mL (WB)</w:t>
            </w:r>
          </w:p>
          <w:p w14:paraId="7A539690"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15 ng/mL (IF)</w:t>
            </w:r>
          </w:p>
          <w:p w14:paraId="73C3FF41"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2606AC" w14:paraId="248F9837" w14:textId="77777777" w:rsidTr="00CE1124">
        <w:trPr>
          <w:trHeight w:val="303"/>
          <w:jc w:val="left"/>
        </w:trPr>
        <w:tc>
          <w:tcPr>
            <w:tcW w:w="2268" w:type="dxa"/>
          </w:tcPr>
          <w:p w14:paraId="2C43FC6F"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GAPDH</w:t>
            </w:r>
          </w:p>
        </w:tc>
        <w:tc>
          <w:tcPr>
            <w:tcW w:w="2230" w:type="dxa"/>
          </w:tcPr>
          <w:p w14:paraId="4737E7B8"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Mouse mAb</w:t>
            </w:r>
          </w:p>
        </w:tc>
        <w:tc>
          <w:tcPr>
            <w:tcW w:w="2660" w:type="dxa"/>
          </w:tcPr>
          <w:p w14:paraId="46C15CED"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Santa Cruz Biotechnology</w:t>
            </w:r>
          </w:p>
        </w:tc>
        <w:tc>
          <w:tcPr>
            <w:tcW w:w="1686" w:type="dxa"/>
          </w:tcPr>
          <w:p w14:paraId="0316DD33"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1 µg/mL</w:t>
            </w:r>
          </w:p>
          <w:p w14:paraId="1F308CA0"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2606AC" w14:paraId="261732AF" w14:textId="77777777" w:rsidTr="00CE1124">
        <w:trPr>
          <w:trHeight w:val="303"/>
          <w:jc w:val="left"/>
        </w:trPr>
        <w:tc>
          <w:tcPr>
            <w:tcW w:w="2268" w:type="dxa"/>
          </w:tcPr>
          <w:p w14:paraId="33CF4867"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C23 (nucleolin)</w:t>
            </w:r>
          </w:p>
        </w:tc>
        <w:tc>
          <w:tcPr>
            <w:tcW w:w="2230" w:type="dxa"/>
          </w:tcPr>
          <w:p w14:paraId="321969C4"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Rabbit pAb</w:t>
            </w:r>
          </w:p>
        </w:tc>
        <w:tc>
          <w:tcPr>
            <w:tcW w:w="2660" w:type="dxa"/>
          </w:tcPr>
          <w:p w14:paraId="13FB4F96"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Santa Cruz Biotechnology</w:t>
            </w:r>
          </w:p>
        </w:tc>
        <w:tc>
          <w:tcPr>
            <w:tcW w:w="1686" w:type="dxa"/>
          </w:tcPr>
          <w:p w14:paraId="2B28D6A1"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0,2  µg/mL</w:t>
            </w:r>
          </w:p>
          <w:p w14:paraId="58BEAD9D"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2CB5A04B" w14:textId="77777777" w:rsidTr="00CE1124">
        <w:trPr>
          <w:trHeight w:val="303"/>
          <w:jc w:val="left"/>
        </w:trPr>
        <w:tc>
          <w:tcPr>
            <w:tcW w:w="2268" w:type="dxa"/>
          </w:tcPr>
          <w:p w14:paraId="63002476"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PSMB5</w:t>
            </w:r>
          </w:p>
        </w:tc>
        <w:tc>
          <w:tcPr>
            <w:tcW w:w="2230" w:type="dxa"/>
          </w:tcPr>
          <w:p w14:paraId="1783A83F"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Mouse mAb</w:t>
            </w:r>
          </w:p>
        </w:tc>
        <w:tc>
          <w:tcPr>
            <w:tcW w:w="2660" w:type="dxa"/>
          </w:tcPr>
          <w:p w14:paraId="30DA4983"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Abcam</w:t>
            </w:r>
          </w:p>
        </w:tc>
        <w:tc>
          <w:tcPr>
            <w:tcW w:w="1686" w:type="dxa"/>
          </w:tcPr>
          <w:p w14:paraId="4142EB26"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10 µg/mL</w:t>
            </w:r>
          </w:p>
          <w:p w14:paraId="3F43F25D"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617A0372" w14:textId="77777777" w:rsidTr="00CE1124">
        <w:trPr>
          <w:trHeight w:val="303"/>
          <w:jc w:val="left"/>
        </w:trPr>
        <w:tc>
          <w:tcPr>
            <w:tcW w:w="2268" w:type="dxa"/>
          </w:tcPr>
          <w:p w14:paraId="4ED3342A"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Secondary anti-mouse</w:t>
            </w:r>
          </w:p>
        </w:tc>
        <w:tc>
          <w:tcPr>
            <w:tcW w:w="2230" w:type="dxa"/>
          </w:tcPr>
          <w:p w14:paraId="1784FDB6" w14:textId="77777777" w:rsidR="00CE1124" w:rsidRDefault="00CE1124" w:rsidP="00CE1124">
            <w:pPr>
              <w:spacing w:line="240" w:lineRule="auto"/>
              <w:jc w:val="left"/>
              <w:rPr>
                <w:rFonts w:ascii="Palatino Linotype" w:hAnsi="Palatino Linotype"/>
                <w:snapToGrid w:val="0"/>
                <w:sz w:val="20"/>
                <w:szCs w:val="22"/>
                <w:lang w:bidi="en-US"/>
              </w:rPr>
            </w:pPr>
            <w:r w:rsidRPr="00CE1124">
              <w:rPr>
                <w:rFonts w:ascii="Palatino Linotype" w:hAnsi="Palatino Linotype"/>
                <w:snapToGrid w:val="0"/>
                <w:sz w:val="20"/>
                <w:szCs w:val="22"/>
                <w:lang w:bidi="en-US"/>
              </w:rPr>
              <w:t>IRDye 680CW conjugated</w:t>
            </w:r>
          </w:p>
          <w:p w14:paraId="6405E969" w14:textId="77777777" w:rsidR="00CE1124" w:rsidRPr="00CE1124" w:rsidRDefault="00CE1124" w:rsidP="00CE1124">
            <w:pPr>
              <w:spacing w:line="240" w:lineRule="auto"/>
              <w:jc w:val="left"/>
              <w:rPr>
                <w:rFonts w:ascii="Palatino Linotype" w:hAnsi="Palatino Linotype"/>
                <w:snapToGrid w:val="0"/>
                <w:sz w:val="20"/>
                <w:szCs w:val="22"/>
                <w:lang w:bidi="en-US"/>
              </w:rPr>
            </w:pPr>
          </w:p>
        </w:tc>
        <w:tc>
          <w:tcPr>
            <w:tcW w:w="2660" w:type="dxa"/>
          </w:tcPr>
          <w:p w14:paraId="51D8471F"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LI-COR</w:t>
            </w:r>
          </w:p>
        </w:tc>
        <w:tc>
          <w:tcPr>
            <w:tcW w:w="1686" w:type="dxa"/>
          </w:tcPr>
          <w:p w14:paraId="712D5244"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0,67 µg/mL</w:t>
            </w:r>
          </w:p>
          <w:p w14:paraId="72B9EB05"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6C937044" w14:textId="77777777" w:rsidTr="00CE1124">
        <w:trPr>
          <w:trHeight w:val="303"/>
          <w:jc w:val="left"/>
        </w:trPr>
        <w:tc>
          <w:tcPr>
            <w:tcW w:w="2268" w:type="dxa"/>
          </w:tcPr>
          <w:p w14:paraId="20E30428"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Secondary anti-rabbit</w:t>
            </w:r>
          </w:p>
        </w:tc>
        <w:tc>
          <w:tcPr>
            <w:tcW w:w="2230" w:type="dxa"/>
          </w:tcPr>
          <w:p w14:paraId="402340E8" w14:textId="77777777" w:rsidR="00CE1124" w:rsidRDefault="00CE1124" w:rsidP="00CE1124">
            <w:pPr>
              <w:spacing w:line="240" w:lineRule="auto"/>
              <w:jc w:val="left"/>
              <w:rPr>
                <w:rFonts w:ascii="Palatino Linotype" w:hAnsi="Palatino Linotype"/>
                <w:snapToGrid w:val="0"/>
                <w:sz w:val="20"/>
                <w:szCs w:val="22"/>
                <w:lang w:bidi="en-US"/>
              </w:rPr>
            </w:pPr>
            <w:r w:rsidRPr="00CE1124">
              <w:rPr>
                <w:rFonts w:ascii="Palatino Linotype" w:hAnsi="Palatino Linotype"/>
                <w:snapToGrid w:val="0"/>
                <w:sz w:val="20"/>
                <w:szCs w:val="22"/>
                <w:lang w:bidi="en-US"/>
              </w:rPr>
              <w:t>IRDye 800CW conjugated</w:t>
            </w:r>
          </w:p>
          <w:p w14:paraId="237DDDF9" w14:textId="77777777" w:rsidR="00CE1124" w:rsidRPr="00CE1124" w:rsidRDefault="00CE1124" w:rsidP="00CE1124">
            <w:pPr>
              <w:spacing w:line="240" w:lineRule="auto"/>
              <w:jc w:val="left"/>
              <w:rPr>
                <w:rFonts w:ascii="Palatino Linotype" w:hAnsi="Palatino Linotype"/>
                <w:snapToGrid w:val="0"/>
                <w:sz w:val="20"/>
                <w:szCs w:val="22"/>
                <w:lang w:bidi="en-US"/>
              </w:rPr>
            </w:pPr>
          </w:p>
        </w:tc>
        <w:tc>
          <w:tcPr>
            <w:tcW w:w="2660" w:type="dxa"/>
          </w:tcPr>
          <w:p w14:paraId="2EB95D32"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LI-COR</w:t>
            </w:r>
          </w:p>
        </w:tc>
        <w:tc>
          <w:tcPr>
            <w:tcW w:w="1686" w:type="dxa"/>
          </w:tcPr>
          <w:p w14:paraId="1839026F" w14:textId="77777777" w:rsid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0,67 µg/mL</w:t>
            </w:r>
          </w:p>
          <w:p w14:paraId="5E1F29CC" w14:textId="77777777" w:rsidR="00CE1124" w:rsidRPr="00CE1124" w:rsidRDefault="00CE1124" w:rsidP="00CE1124">
            <w:pPr>
              <w:spacing w:line="240" w:lineRule="auto"/>
              <w:jc w:val="center"/>
              <w:rPr>
                <w:rFonts w:ascii="Palatino Linotype" w:hAnsi="Palatino Linotype"/>
                <w:snapToGrid w:val="0"/>
                <w:sz w:val="20"/>
                <w:szCs w:val="22"/>
                <w:lang w:bidi="en-US"/>
              </w:rPr>
            </w:pPr>
          </w:p>
        </w:tc>
      </w:tr>
      <w:tr w:rsidR="00CE1124" w:rsidRPr="006C1188" w14:paraId="6E9A02C0" w14:textId="77777777" w:rsidTr="00CE1124">
        <w:trPr>
          <w:trHeight w:val="303"/>
          <w:jc w:val="left"/>
        </w:trPr>
        <w:tc>
          <w:tcPr>
            <w:tcW w:w="2268" w:type="dxa"/>
          </w:tcPr>
          <w:p w14:paraId="6F46D5E3"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Secondary anti-mouse</w:t>
            </w:r>
          </w:p>
        </w:tc>
        <w:tc>
          <w:tcPr>
            <w:tcW w:w="2230" w:type="dxa"/>
          </w:tcPr>
          <w:p w14:paraId="0B8868F8" w14:textId="77777777" w:rsidR="00CE1124" w:rsidRPr="00CE1124" w:rsidRDefault="00CE1124" w:rsidP="00CE1124">
            <w:pPr>
              <w:spacing w:line="240" w:lineRule="auto"/>
              <w:jc w:val="left"/>
              <w:rPr>
                <w:rFonts w:ascii="Palatino Linotype" w:hAnsi="Palatino Linotype"/>
                <w:snapToGrid w:val="0"/>
                <w:sz w:val="20"/>
                <w:szCs w:val="22"/>
                <w:lang w:bidi="en-US"/>
              </w:rPr>
            </w:pPr>
            <w:r w:rsidRPr="00CE1124">
              <w:rPr>
                <w:rFonts w:ascii="Palatino Linotype" w:hAnsi="Palatino Linotype"/>
                <w:snapToGrid w:val="0"/>
                <w:sz w:val="20"/>
                <w:szCs w:val="22"/>
                <w:lang w:bidi="en-US"/>
              </w:rPr>
              <w:t>Alexa Fuor 555 Conjugated</w:t>
            </w:r>
          </w:p>
        </w:tc>
        <w:tc>
          <w:tcPr>
            <w:tcW w:w="2660" w:type="dxa"/>
          </w:tcPr>
          <w:p w14:paraId="0B2F9D2E"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Immunological Sciences</w:t>
            </w:r>
          </w:p>
        </w:tc>
        <w:tc>
          <w:tcPr>
            <w:tcW w:w="1686" w:type="dxa"/>
          </w:tcPr>
          <w:p w14:paraId="3CADB232"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5 µg/mL</w:t>
            </w:r>
          </w:p>
        </w:tc>
      </w:tr>
      <w:tr w:rsidR="00CE1124" w:rsidRPr="009A0F40" w14:paraId="4D1528FF" w14:textId="77777777" w:rsidTr="00CE1124">
        <w:trPr>
          <w:trHeight w:val="303"/>
          <w:jc w:val="left"/>
        </w:trPr>
        <w:tc>
          <w:tcPr>
            <w:tcW w:w="2268" w:type="dxa"/>
          </w:tcPr>
          <w:p w14:paraId="256870BE" w14:textId="77777777" w:rsidR="00CE1124" w:rsidRPr="00CE1124" w:rsidRDefault="00CE1124" w:rsidP="00CE1124">
            <w:pPr>
              <w:spacing w:line="240" w:lineRule="auto"/>
              <w:rPr>
                <w:rFonts w:ascii="Palatino Linotype" w:hAnsi="Palatino Linotype"/>
                <w:snapToGrid w:val="0"/>
                <w:sz w:val="20"/>
                <w:szCs w:val="22"/>
                <w:lang w:bidi="en-US"/>
              </w:rPr>
            </w:pPr>
            <w:r w:rsidRPr="00CE1124">
              <w:rPr>
                <w:rFonts w:ascii="Palatino Linotype" w:hAnsi="Palatino Linotype"/>
                <w:snapToGrid w:val="0"/>
                <w:sz w:val="20"/>
                <w:szCs w:val="22"/>
                <w:lang w:bidi="en-US"/>
              </w:rPr>
              <w:t>Secondary anti-rabbit</w:t>
            </w:r>
          </w:p>
        </w:tc>
        <w:tc>
          <w:tcPr>
            <w:tcW w:w="2230" w:type="dxa"/>
          </w:tcPr>
          <w:p w14:paraId="32B9FF91" w14:textId="77777777" w:rsidR="00CE1124" w:rsidRPr="00CE1124" w:rsidRDefault="00CE1124" w:rsidP="00CE1124">
            <w:pPr>
              <w:shd w:val="clear" w:color="auto" w:fill="F7F7F7"/>
              <w:spacing w:before="165" w:after="240" w:line="240" w:lineRule="auto"/>
              <w:outlineLvl w:val="0"/>
              <w:rPr>
                <w:rFonts w:ascii="Palatino Linotype" w:hAnsi="Palatino Linotype"/>
                <w:snapToGrid w:val="0"/>
                <w:sz w:val="20"/>
                <w:szCs w:val="22"/>
                <w:lang w:bidi="en-US"/>
              </w:rPr>
            </w:pPr>
            <w:r w:rsidRPr="00CE1124">
              <w:rPr>
                <w:rFonts w:ascii="Palatino Linotype" w:hAnsi="Palatino Linotype"/>
                <w:snapToGrid w:val="0"/>
                <w:sz w:val="20"/>
                <w:szCs w:val="22"/>
                <w:lang w:bidi="en-US"/>
              </w:rPr>
              <w:t>Alexa Fuor 488 Conjugated</w:t>
            </w:r>
          </w:p>
        </w:tc>
        <w:tc>
          <w:tcPr>
            <w:tcW w:w="2660" w:type="dxa"/>
          </w:tcPr>
          <w:p w14:paraId="248E2FA6"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Immunological Sciences</w:t>
            </w:r>
          </w:p>
        </w:tc>
        <w:tc>
          <w:tcPr>
            <w:tcW w:w="1686" w:type="dxa"/>
          </w:tcPr>
          <w:p w14:paraId="7DC6C233" w14:textId="77777777" w:rsidR="00CE1124" w:rsidRPr="00CE1124" w:rsidRDefault="00CE1124" w:rsidP="00CE1124">
            <w:pPr>
              <w:spacing w:line="240" w:lineRule="auto"/>
              <w:jc w:val="center"/>
              <w:rPr>
                <w:rFonts w:ascii="Palatino Linotype" w:hAnsi="Palatino Linotype"/>
                <w:snapToGrid w:val="0"/>
                <w:sz w:val="20"/>
                <w:szCs w:val="22"/>
                <w:lang w:bidi="en-US"/>
              </w:rPr>
            </w:pPr>
            <w:r w:rsidRPr="00CE1124">
              <w:rPr>
                <w:rFonts w:ascii="Palatino Linotype" w:hAnsi="Palatino Linotype"/>
                <w:snapToGrid w:val="0"/>
                <w:sz w:val="20"/>
                <w:szCs w:val="22"/>
                <w:lang w:bidi="en-US"/>
              </w:rPr>
              <w:t>5 µg/mL</w:t>
            </w:r>
          </w:p>
        </w:tc>
      </w:tr>
    </w:tbl>
    <w:p w14:paraId="3FD28BE3" w14:textId="77777777" w:rsidR="00CE1124" w:rsidRPr="00F12D7B" w:rsidRDefault="00CE1124" w:rsidP="00A71D74">
      <w:pPr>
        <w:pStyle w:val="MDPI21heading1"/>
        <w:jc w:val="both"/>
        <w:rPr>
          <w:b w:val="0"/>
        </w:rPr>
      </w:pPr>
    </w:p>
    <w:p w14:paraId="0B4D67B9" w14:textId="77777777" w:rsidR="00A71D74" w:rsidRPr="00F12D7B" w:rsidRDefault="00A71D74" w:rsidP="00A71D74">
      <w:pPr>
        <w:pStyle w:val="MDPI22heading2"/>
      </w:pPr>
      <w:r w:rsidRPr="00F12D7B">
        <w:t>4.9. Immunofluorescence</w:t>
      </w:r>
    </w:p>
    <w:p w14:paraId="3390D908" w14:textId="77777777" w:rsidR="00A71D74" w:rsidRPr="00F12D7B" w:rsidRDefault="00A6331C" w:rsidP="00A71D74">
      <w:pPr>
        <w:pStyle w:val="MDPI21heading1"/>
        <w:jc w:val="both"/>
        <w:rPr>
          <w:b w:val="0"/>
        </w:rPr>
      </w:pPr>
      <w:r w:rsidRPr="00F12D7B">
        <w:rPr>
          <w:b w:val="0"/>
        </w:rPr>
        <w:t>Cells were grown onto 12 mm poly-L-lysine coated coverslips and treated with IC50 value of trabectedin for 3 days. Cells were then fixed in ice-cold methanol for 20 min and permeabilized with 0.2% Triton X-100 in PBS for 1 hr. Nonspecific binding was blocked by incubation in PBS containing 0,2% Triton X-100 and 1% of BSA for 5 minutes. Cells were then incubated overnight at 4°C with rabbit monoclonal antibody against human β-catenin primary antibody and with mouse monoclonal antibody against human PSMB5. After extensive washes, the Alexa Fluor488 anti-rabbit secondary antibody (Life Technologies) was applied for 1 hour at room temperature, followed by counterstaining with Hoechst (Sigma Aldrich) for 5 min. After rinsing in PBS, coverslips were mounted using FluorPreserveTM Reagent and cell staining was detected using a Zeiss LSM 510 META confocal laser-scanning microscope (Carl Zeiss AG, Oberkochen, Germany). Zen software was used for image analysis and processing.</w:t>
      </w:r>
    </w:p>
    <w:p w14:paraId="56E2E3EB" w14:textId="77777777" w:rsidR="00A6331C" w:rsidRPr="00F12D7B" w:rsidRDefault="00A6331C" w:rsidP="00A71D74">
      <w:pPr>
        <w:pStyle w:val="MDPI21heading1"/>
        <w:jc w:val="both"/>
        <w:rPr>
          <w:b w:val="0"/>
        </w:rPr>
      </w:pPr>
    </w:p>
    <w:p w14:paraId="594E8A4F" w14:textId="77777777" w:rsidR="00A6331C" w:rsidRPr="00F12D7B" w:rsidRDefault="00A6331C" w:rsidP="00A6331C">
      <w:pPr>
        <w:pStyle w:val="MDPI22heading2"/>
      </w:pPr>
      <w:r w:rsidRPr="00F12D7B">
        <w:t>4.10. Chemicals</w:t>
      </w:r>
    </w:p>
    <w:p w14:paraId="351CCDAB" w14:textId="77777777" w:rsidR="00A6331C" w:rsidRPr="00F12D7B" w:rsidRDefault="00A6331C" w:rsidP="00A71D74">
      <w:pPr>
        <w:pStyle w:val="MDPI21heading1"/>
        <w:jc w:val="both"/>
        <w:rPr>
          <w:b w:val="0"/>
        </w:rPr>
      </w:pPr>
      <w:r w:rsidRPr="00F12D7B">
        <w:rPr>
          <w:b w:val="0"/>
        </w:rPr>
        <w:lastRenderedPageBreak/>
        <w:t>Trabectedin was kindly given by Pharma Mar S.A. (Madrid, Spain), dissolved in DMSO and stored at -20°C in 10mM aliquots.  Mitotane was supplied by Selleckchem Chemicals (DBA Italia, Milano, Italy), dissolved in DMSO and stored at -80°C in 200mM aliquots.</w:t>
      </w:r>
    </w:p>
    <w:p w14:paraId="2D0AF236" w14:textId="77777777" w:rsidR="00A6331C" w:rsidRPr="00F12D7B" w:rsidRDefault="00A6331C" w:rsidP="00A71D74">
      <w:pPr>
        <w:pStyle w:val="MDPI21heading1"/>
        <w:jc w:val="both"/>
        <w:rPr>
          <w:b w:val="0"/>
        </w:rPr>
      </w:pPr>
    </w:p>
    <w:p w14:paraId="17FADA56" w14:textId="77777777" w:rsidR="00A6331C" w:rsidRPr="00F12D7B" w:rsidRDefault="00A6331C" w:rsidP="00A6331C">
      <w:pPr>
        <w:pStyle w:val="MDPI22heading2"/>
      </w:pPr>
      <w:r w:rsidRPr="00F12D7B">
        <w:t>4.10. Statistical analysis</w:t>
      </w:r>
    </w:p>
    <w:p w14:paraId="0D96CB1E" w14:textId="77777777" w:rsidR="00A6331C" w:rsidRPr="00F12D7B" w:rsidRDefault="00A6331C" w:rsidP="00A71D74">
      <w:pPr>
        <w:pStyle w:val="MDPI21heading1"/>
        <w:jc w:val="both"/>
        <w:rPr>
          <w:b w:val="0"/>
        </w:rPr>
      </w:pPr>
      <w:r w:rsidRPr="00F12D7B">
        <w:rPr>
          <w:b w:val="0"/>
        </w:rPr>
        <w:t>Statistical analysis was carried out using GraphPad Prism software (version 5.02, GraphPad Software, La Jolla, CA, USA). One-way ANOVA with Bonferroni</w:t>
      </w:r>
      <w:r w:rsidRPr="00F12D7B">
        <w:rPr>
          <w:rFonts w:ascii="Times New Roman" w:hAnsi="Times New Roman"/>
          <w:b w:val="0"/>
        </w:rPr>
        <w:t>׳</w:t>
      </w:r>
      <w:r w:rsidRPr="00F12D7B">
        <w:rPr>
          <w:b w:val="0"/>
        </w:rPr>
        <w:t xml:space="preserve">s correction was used for multiple comparisons. Unless otherwise specified, data are expressed as mean </w:t>
      </w:r>
      <w:r w:rsidRPr="00F12D7B">
        <w:rPr>
          <w:rFonts w:cs="Palatino Linotype"/>
          <w:b w:val="0"/>
        </w:rPr>
        <w:t>±</w:t>
      </w:r>
      <w:r w:rsidRPr="00F12D7B">
        <w:rPr>
          <w:b w:val="0"/>
        </w:rPr>
        <w:t xml:space="preserve"> SD or SEM of at least three experiments run in triplicate. P values &lt; 0.05 were considered statistically significant.</w:t>
      </w:r>
    </w:p>
    <w:p w14:paraId="6CFB0860" w14:textId="77777777" w:rsidR="00A6331C" w:rsidRPr="00F12D7B" w:rsidRDefault="00A6331C" w:rsidP="00A71D74">
      <w:pPr>
        <w:pStyle w:val="MDPI21heading1"/>
        <w:jc w:val="both"/>
      </w:pPr>
    </w:p>
    <w:p w14:paraId="757D39D7" w14:textId="77777777" w:rsidR="003A55A8" w:rsidRPr="00F12D7B" w:rsidRDefault="003A55A8" w:rsidP="003A55A8">
      <w:pPr>
        <w:pStyle w:val="MDPI21heading1"/>
      </w:pPr>
      <w:r w:rsidRPr="00F12D7B">
        <w:t>5. Conclusions</w:t>
      </w:r>
    </w:p>
    <w:p w14:paraId="6020EDC1" w14:textId="77777777" w:rsidR="00F864D7" w:rsidRPr="00F12D7B" w:rsidRDefault="00F864D7" w:rsidP="00F864D7">
      <w:pPr>
        <w:pStyle w:val="MDPI21heading1"/>
        <w:jc w:val="both"/>
        <w:rPr>
          <w:b w:val="0"/>
        </w:rPr>
      </w:pPr>
      <w:r w:rsidRPr="00F12D7B">
        <w:rPr>
          <w:b w:val="0"/>
        </w:rPr>
        <w:t>Our results indicated that trabectedin, at concentrations superimposable to those employed in in vitro experimental mode</w:t>
      </w:r>
      <w:r w:rsidR="003561BA">
        <w:rPr>
          <w:b w:val="0"/>
        </w:rPr>
        <w:t xml:space="preserve">ls of STS and ovary carcinoma,  </w:t>
      </w:r>
      <w:r w:rsidRPr="00F12D7B">
        <w:rPr>
          <w:b w:val="0"/>
        </w:rPr>
        <w:t xml:space="preserve">exert a cytotoxic effect in different ACC cell models and effect persists upon drug withdrawal. These findings, together with the high lipophilicity of trabectedin and the lyophilic milieu of these tumors, suggest that the drug may accumulate in ACC cells and could be efficacious in treating ACC patients. This point however is speculative and needs to be extensively studied in a dedicated prospective clinical trial. </w:t>
      </w:r>
    </w:p>
    <w:p w14:paraId="6A4E00AB" w14:textId="41FB00AA" w:rsidR="00F864D7" w:rsidRPr="00F12D7B" w:rsidRDefault="00F864D7" w:rsidP="00F864D7">
      <w:pPr>
        <w:pStyle w:val="MDPI21heading1"/>
        <w:spacing w:after="0"/>
        <w:jc w:val="both"/>
        <w:rPr>
          <w:b w:val="0"/>
        </w:rPr>
      </w:pPr>
      <w:r w:rsidRPr="00F12D7B">
        <w:rPr>
          <w:b w:val="0"/>
        </w:rPr>
        <w:t>Finally, our data on the inhibitory effect of trabectedin on Wnt/β-catenin are interesting due to the major role of this pathway in proliferation and resistance to antin</w:t>
      </w:r>
      <w:r w:rsidR="00C0427F" w:rsidRPr="00F12D7B">
        <w:rPr>
          <w:b w:val="0"/>
        </w:rPr>
        <w:t xml:space="preserve">eoplastic agents of ACC cells </w:t>
      </w:r>
      <w:r w:rsidRPr="00F12D7B">
        <w:rPr>
          <w:b w:val="0"/>
        </w:rPr>
        <w:t>[</w:t>
      </w:r>
      <w:r w:rsidR="00012E83" w:rsidRPr="00F12D7B">
        <w:rPr>
          <w:b w:val="0"/>
        </w:rPr>
        <w:t>21, 22</w:t>
      </w:r>
      <w:r w:rsidR="00C0427F" w:rsidRPr="00F12D7B">
        <w:rPr>
          <w:b w:val="0"/>
        </w:rPr>
        <w:t xml:space="preserve">, </w:t>
      </w:r>
      <w:r w:rsidR="0027775E">
        <w:rPr>
          <w:b w:val="0"/>
        </w:rPr>
        <w:t>48</w:t>
      </w:r>
      <w:r w:rsidRPr="00F12D7B">
        <w:rPr>
          <w:b w:val="0"/>
        </w:rPr>
        <w:t>].</w:t>
      </w:r>
    </w:p>
    <w:p w14:paraId="4D7C8E1E" w14:textId="77777777" w:rsidR="00F864D7" w:rsidRDefault="00F864D7" w:rsidP="00F864D7">
      <w:pPr>
        <w:pStyle w:val="MDPI21heading1"/>
        <w:spacing w:after="0"/>
        <w:rPr>
          <w:b w:val="0"/>
        </w:rPr>
      </w:pPr>
    </w:p>
    <w:p w14:paraId="3E64E140" w14:textId="77777777" w:rsidR="00F864D7" w:rsidRDefault="00B874CF" w:rsidP="00F864D7">
      <w:pPr>
        <w:pStyle w:val="MDPI61Supplementary"/>
        <w:spacing w:before="0"/>
      </w:pPr>
      <w:r w:rsidRPr="00864993">
        <w:rPr>
          <w:b/>
        </w:rPr>
        <w:t>Supplementary Materials:</w:t>
      </w:r>
      <w:r w:rsidRPr="00864993">
        <w:t xml:space="preserve"> The following are available online at </w:t>
      </w:r>
      <w:r w:rsidR="00E13705">
        <w:t>www.mdpi.com/xxx/s1</w:t>
      </w:r>
      <w:r w:rsidRPr="00864993">
        <w:t>, Figure S1</w:t>
      </w:r>
      <w:r w:rsidR="00851E19" w:rsidRPr="00851E19">
        <w:t xml:space="preserve"> Effect of trabectedin on DNA integrity</w:t>
      </w:r>
      <w:r w:rsidRPr="00864993">
        <w:t xml:space="preserve">, </w:t>
      </w:r>
      <w:r w:rsidR="00851E19">
        <w:t>Figure S2</w:t>
      </w:r>
      <w:r w:rsidR="00851E19" w:rsidRPr="00851E19">
        <w:t xml:space="preserve"> Trabectedin promoted apoptoti</w:t>
      </w:r>
      <w:r w:rsidR="00851E19">
        <w:t>c cell death in NCI-H295R cells, Figure S3</w:t>
      </w:r>
      <w:r w:rsidR="00851E19" w:rsidRPr="00851E19">
        <w:t xml:space="preserve"> Cytotoxic effect of trabectedin on SW13 cell line</w:t>
      </w:r>
      <w:r w:rsidR="00851E19">
        <w:t>, Figure S4</w:t>
      </w:r>
      <w:r w:rsidR="00851E19" w:rsidRPr="00851E19">
        <w:t xml:space="preserve"> Representative figure of subfractions proteins of NCI-H295R. EN = Nuclear Extract, EC = Cytosolic Extract.</w:t>
      </w:r>
    </w:p>
    <w:p w14:paraId="3F22319C" w14:textId="77777777" w:rsidR="00F864D7" w:rsidRDefault="00F864D7" w:rsidP="00F864D7">
      <w:pPr>
        <w:pStyle w:val="MDPI61Supplementary"/>
        <w:spacing w:before="0"/>
      </w:pPr>
    </w:p>
    <w:p w14:paraId="1DD613F4" w14:textId="77777777" w:rsidR="000618E3" w:rsidRDefault="000618E3" w:rsidP="00F864D7">
      <w:pPr>
        <w:pStyle w:val="MDPI61Supplementary"/>
        <w:spacing w:before="0"/>
      </w:pPr>
      <w:r>
        <w:rPr>
          <w:b/>
        </w:rPr>
        <w:t xml:space="preserve">Author Contributions: </w:t>
      </w:r>
      <w:r w:rsidR="00F864D7" w:rsidRPr="00F864D7">
        <w:t>Conceptualization, S.S., A.B., A.A.; Methodology, S.S., A.A., S.A.B., G.A.M.T., D.B.; Formal Analysis, A.A., E.R., M.F., S.A.B.</w:t>
      </w:r>
      <w:r w:rsidR="00F63F4B">
        <w:t>; Data Curation: A.A., S.S., D.C</w:t>
      </w:r>
      <w:r w:rsidR="00F864D7" w:rsidRPr="00F864D7">
        <w:t>., M.L.;  Writing – Original Draft Preparation, A.A.; Writing – Review &amp; Editing, M.M., C.H., S.G., M.T., S.S., A.B.; Supervision, S.S., A.B.; Funding Acquisition, S.S., A.B</w:t>
      </w:r>
      <w:r w:rsidR="003561BA">
        <w:t>., C.H</w:t>
      </w:r>
      <w:r w:rsidR="00F864D7" w:rsidRPr="00F864D7">
        <w:t>.</w:t>
      </w:r>
    </w:p>
    <w:p w14:paraId="38C828CB" w14:textId="77777777" w:rsidR="00F864D7" w:rsidRPr="000618E3" w:rsidRDefault="00F864D7" w:rsidP="00F864D7">
      <w:pPr>
        <w:pStyle w:val="MDPI62Acknowledgments"/>
      </w:pPr>
    </w:p>
    <w:p w14:paraId="71D1D394" w14:textId="77777777" w:rsidR="00F864D7" w:rsidRPr="00394E80" w:rsidRDefault="00394E80" w:rsidP="00F864D7">
      <w:pPr>
        <w:pStyle w:val="MDPI62Acknowledgments"/>
      </w:pPr>
      <w:r>
        <w:rPr>
          <w:b/>
        </w:rPr>
        <w:t xml:space="preserve">Funding: </w:t>
      </w:r>
      <w:r w:rsidR="00F864D7">
        <w:t>This work was supported by Pharma Mar S.A. (Madrid, Spain). C.H. received funding by the Uniscientia Foundation (keyword: tumor model)</w:t>
      </w:r>
    </w:p>
    <w:p w14:paraId="19AEBAD2" w14:textId="77777777" w:rsidR="00F864D7" w:rsidRPr="002B5823" w:rsidRDefault="00F864D7" w:rsidP="00F864D7">
      <w:pPr>
        <w:pStyle w:val="MDPI62Acknowledgments"/>
      </w:pPr>
    </w:p>
    <w:p w14:paraId="5F41CD0C" w14:textId="77777777" w:rsidR="00F864D7" w:rsidRDefault="00B874CF" w:rsidP="00F864D7">
      <w:pPr>
        <w:pStyle w:val="MDPI64CoI"/>
        <w:spacing w:before="0"/>
      </w:pPr>
      <w:r w:rsidRPr="00864993">
        <w:rPr>
          <w:b/>
        </w:rPr>
        <w:t>Conflicts of Interest:</w:t>
      </w:r>
      <w:r w:rsidRPr="00864993">
        <w:t xml:space="preserve"> </w:t>
      </w:r>
      <w:r w:rsidR="00F864D7" w:rsidRPr="00F864D7">
        <w:t>The Authors declare no conflict of interest.</w:t>
      </w:r>
    </w:p>
    <w:p w14:paraId="7A643F7D" w14:textId="77777777" w:rsidR="00F864D7" w:rsidRDefault="00F864D7" w:rsidP="00F864D7">
      <w:pPr>
        <w:pStyle w:val="MDPI64CoI"/>
        <w:spacing w:before="0"/>
      </w:pPr>
    </w:p>
    <w:p w14:paraId="72E4A175" w14:textId="77777777" w:rsidR="00F864D7" w:rsidRDefault="00F864D7" w:rsidP="00F864D7">
      <w:pPr>
        <w:pStyle w:val="MDPI64CoI"/>
        <w:spacing w:before="0"/>
      </w:pPr>
    </w:p>
    <w:p w14:paraId="4812F9DE" w14:textId="77777777" w:rsidR="003A55A8" w:rsidRPr="00864993" w:rsidRDefault="003A55A8" w:rsidP="00F864D7">
      <w:pPr>
        <w:pStyle w:val="MDPI21heading1"/>
        <w:spacing w:before="0"/>
      </w:pPr>
      <w:r w:rsidRPr="00864993">
        <w:t>References</w:t>
      </w:r>
    </w:p>
    <w:p w14:paraId="1B0896F0" w14:textId="77777777" w:rsidR="008963F1" w:rsidRPr="00BB74C7" w:rsidRDefault="00487DE1" w:rsidP="008963F1">
      <w:pPr>
        <w:pStyle w:val="MDPI71References"/>
      </w:pPr>
      <w:r w:rsidRPr="00A06154">
        <w:rPr>
          <w:lang w:val="it-IT"/>
        </w:rPr>
        <w:t>Terzolo M, Daffara F, Ardito A, Zaggia B, Basile V, Ferrari L , Berruti A</w:t>
      </w:r>
      <w:r w:rsidR="00BB74C7" w:rsidRPr="00A06154">
        <w:rPr>
          <w:lang w:val="it-IT"/>
        </w:rPr>
        <w:t xml:space="preserve">. </w:t>
      </w:r>
      <w:r w:rsidRPr="00A06154">
        <w:rPr>
          <w:lang w:val="it-IT"/>
        </w:rPr>
        <w:t xml:space="preserve">Management of adrenal cancer: a 2013 update. </w:t>
      </w:r>
      <w:r w:rsidRPr="00BB74C7">
        <w:rPr>
          <w:i/>
        </w:rPr>
        <w:t>J Endocrinol Invest</w:t>
      </w:r>
      <w:r w:rsidR="00BB74C7">
        <w:t>.</w:t>
      </w:r>
      <w:r w:rsidRPr="00BB74C7">
        <w:t xml:space="preserve"> </w:t>
      </w:r>
      <w:r w:rsidR="00BB74C7" w:rsidRPr="00BB74C7">
        <w:t>2014</w:t>
      </w:r>
      <w:r w:rsidR="00BB74C7">
        <w:t>,</w:t>
      </w:r>
      <w:r w:rsidR="00BB74C7" w:rsidRPr="00BB74C7">
        <w:t xml:space="preserve"> </w:t>
      </w:r>
      <w:r w:rsidR="00BB74C7">
        <w:t xml:space="preserve">37(3), </w:t>
      </w:r>
      <w:r w:rsidRPr="00BB74C7">
        <w:t xml:space="preserve">207-217. </w:t>
      </w:r>
    </w:p>
    <w:p w14:paraId="33932E22" w14:textId="77777777" w:rsidR="00487DE1" w:rsidRPr="00BB74C7" w:rsidRDefault="00487DE1" w:rsidP="008963F1">
      <w:pPr>
        <w:pStyle w:val="MDPI71References"/>
      </w:pPr>
      <w:r>
        <w:t>Fassnacht M, Dekkers O, Else T, Baudin E, BerrutiA, de Krijger RR, Haak HR, Mihai R, Assie G, Terzolo M</w:t>
      </w:r>
      <w:r w:rsidR="00BB74C7">
        <w:t>.</w:t>
      </w:r>
      <w:r>
        <w:t xml:space="preserve"> European Society of Endocrinology Clinical Practice Guidelines on the Management of Adrenocortical Carcinoma in Adults, in collaboration with the European Network for the Study of Adrenal Tumors. </w:t>
      </w:r>
      <w:r w:rsidRPr="00BB74C7">
        <w:rPr>
          <w:i/>
        </w:rPr>
        <w:t>Eur J Endocrinol</w:t>
      </w:r>
      <w:r w:rsidR="00BB74C7">
        <w:t xml:space="preserve">. 2018, </w:t>
      </w:r>
      <w:r>
        <w:t>179(4)</w:t>
      </w:r>
      <w:r w:rsidR="00BB74C7">
        <w:t xml:space="preserve">, </w:t>
      </w:r>
      <w:r>
        <w:t>G1-G46. https://doi.org/10.1530/EJE-18-0608.</w:t>
      </w:r>
    </w:p>
    <w:p w14:paraId="305DA9FD" w14:textId="77777777" w:rsidR="00487DE1" w:rsidRDefault="00487DE1" w:rsidP="008963F1">
      <w:pPr>
        <w:pStyle w:val="MDPI71References"/>
      </w:pPr>
      <w:r>
        <w:lastRenderedPageBreak/>
        <w:t>Waszut U, Szyszka P, Dworakowska D</w:t>
      </w:r>
      <w:r w:rsidR="00BB74C7">
        <w:t>.</w:t>
      </w:r>
      <w:r>
        <w:t xml:space="preserve">Understanding mitotane mode of action. Journal of J </w:t>
      </w:r>
      <w:r w:rsidRPr="00BB74C7">
        <w:rPr>
          <w:i/>
        </w:rPr>
        <w:t>Ph</w:t>
      </w:r>
      <w:r w:rsidR="00BB74C7" w:rsidRPr="00BB74C7">
        <w:rPr>
          <w:i/>
        </w:rPr>
        <w:t>ysiol Pharmacol</w:t>
      </w:r>
      <w:r w:rsidR="00BB74C7">
        <w:t xml:space="preserve">. 2017, 68(1), </w:t>
      </w:r>
      <w:r>
        <w:t>13-26.</w:t>
      </w:r>
    </w:p>
    <w:p w14:paraId="144F2E5F" w14:textId="77777777" w:rsidR="00487DE1" w:rsidRDefault="00487DE1" w:rsidP="008963F1">
      <w:pPr>
        <w:pStyle w:val="MDPI71References"/>
      </w:pPr>
      <w:r>
        <w:t>Micromedex® (electronic version). IBM Watson Health, Greenwood Village, Colorado, USA. Available at: https://www.micromedexsolutions.com/ (</w:t>
      </w:r>
      <w:r w:rsidR="00BB74C7">
        <w:t>Accessed on</w:t>
      </w:r>
      <w:r>
        <w:t xml:space="preserve"> </w:t>
      </w:r>
      <w:r w:rsidR="00BB74C7">
        <w:t>31/</w:t>
      </w:r>
      <w:r>
        <w:t>10/2019).</w:t>
      </w:r>
    </w:p>
    <w:p w14:paraId="3CB2B5B9" w14:textId="77777777" w:rsidR="00487DE1" w:rsidRDefault="00487DE1" w:rsidP="008963F1">
      <w:pPr>
        <w:pStyle w:val="MDPI71References"/>
      </w:pPr>
      <w:r w:rsidRPr="00A06154">
        <w:rPr>
          <w:lang w:val="it-IT"/>
        </w:rPr>
        <w:t>Berruti A, Terzolo M, Sperone P, Pia A, Della Casa S, Gross DJ,  Carnaghi C, Casali</w:t>
      </w:r>
      <w:r w:rsidR="00BB74C7" w:rsidRPr="00A06154">
        <w:rPr>
          <w:lang w:val="it-IT"/>
        </w:rPr>
        <w:t xml:space="preserve"> P, Porpiglia F, Mantero F et al. </w:t>
      </w:r>
      <w:r>
        <w:t xml:space="preserve">Etoposide, doxorubicin and cisplatin plus mitotane in the treatment of advanced adrenocortical carcinoma: a large prospective phase II trial. </w:t>
      </w:r>
      <w:r w:rsidRPr="00BB74C7">
        <w:rPr>
          <w:i/>
        </w:rPr>
        <w:t xml:space="preserve">Endocr Relat Cancer. </w:t>
      </w:r>
      <w:r w:rsidR="00BB74C7">
        <w:t xml:space="preserve">2005, 12(3), </w:t>
      </w:r>
      <w:r>
        <w:t>657–666.</w:t>
      </w:r>
    </w:p>
    <w:p w14:paraId="2EF2516D" w14:textId="77777777" w:rsidR="00487DE1" w:rsidRDefault="00487DE1" w:rsidP="008963F1">
      <w:pPr>
        <w:pStyle w:val="MDPI71References"/>
      </w:pPr>
      <w:r>
        <w:t>Fassnacht M, Terzolo, M, Allolio B, Baudin E, Haak H, Berruti A, Welin S, Schade-Brittinger C, Lacroix A, Jarzab B et al</w:t>
      </w:r>
      <w:r w:rsidR="00BB74C7">
        <w:t>.</w:t>
      </w:r>
      <w:r>
        <w:t xml:space="preserve"> Combination chemotherapy in advanced adrenoc</w:t>
      </w:r>
      <w:r w:rsidR="00BB74C7">
        <w:t xml:space="preserve">ortical carcinoma. </w:t>
      </w:r>
      <w:r w:rsidR="00BB74C7" w:rsidRPr="00BB74C7">
        <w:rPr>
          <w:i/>
        </w:rPr>
        <w:t>N Engl J Med</w:t>
      </w:r>
      <w:r w:rsidR="00BB74C7">
        <w:t xml:space="preserve">. 2012,  366(23), </w:t>
      </w:r>
      <w:r>
        <w:t>2189-2197. https://doi.org/10.1056/NEJMoa1200966</w:t>
      </w:r>
    </w:p>
    <w:p w14:paraId="212A868F" w14:textId="77777777" w:rsidR="00487DE1" w:rsidRDefault="00487DE1" w:rsidP="008963F1">
      <w:pPr>
        <w:pStyle w:val="MDPI71References"/>
      </w:pPr>
      <w:r w:rsidRPr="00A06154">
        <w:rPr>
          <w:lang w:val="it-IT"/>
        </w:rPr>
        <w:t>Sperone P, Ferrero A, Daffara F, Priola A, Zaggia B, Volante M, Santini D, Vincenzi B, Badalamenti G, Intrivici C et al</w:t>
      </w:r>
      <w:r w:rsidR="00BB74C7" w:rsidRPr="00A06154">
        <w:rPr>
          <w:lang w:val="it-IT"/>
        </w:rPr>
        <w:t>.</w:t>
      </w:r>
      <w:r w:rsidRPr="00A06154">
        <w:rPr>
          <w:lang w:val="it-IT"/>
        </w:rPr>
        <w:t xml:space="preserve"> </w:t>
      </w:r>
      <w:r>
        <w:t xml:space="preserve">Gemcitabine plus metronomic 5-fluorouracil or capecitabine as a second-/third-line chemotherapy in advanced adrenocortical carcinoma: a multicenter phase II study. </w:t>
      </w:r>
      <w:r w:rsidRPr="00BB74C7">
        <w:rPr>
          <w:i/>
        </w:rPr>
        <w:t>Endocr Relat Cancer</w:t>
      </w:r>
      <w:r>
        <w:t xml:space="preserve"> </w:t>
      </w:r>
      <w:r w:rsidR="00BB74C7">
        <w:t xml:space="preserve">2010, </w:t>
      </w:r>
      <w:r>
        <w:t>17(2)</w:t>
      </w:r>
      <w:r w:rsidR="00BB74C7">
        <w:t xml:space="preserve">, </w:t>
      </w:r>
      <w:r>
        <w:t>445–453. https://doi.org/10.1677/ERC-09-0281</w:t>
      </w:r>
    </w:p>
    <w:p w14:paraId="7778EC1F" w14:textId="77777777" w:rsidR="00487DE1" w:rsidRDefault="00487DE1" w:rsidP="008963F1">
      <w:pPr>
        <w:pStyle w:val="MDPI71References"/>
      </w:pPr>
      <w:r>
        <w:t>Grisanti S, Cosentini D, Laganà M, Abate A,</w:t>
      </w:r>
      <w:r w:rsidR="00BB74C7">
        <w:t xml:space="preserve"> Rossini E, Sigala S, Berruti A. </w:t>
      </w:r>
      <w:r>
        <w:t xml:space="preserve">Are we failing in treatment of adrenocortical carcinoma? Lights and shadows of molecular signatures. </w:t>
      </w:r>
      <w:r w:rsidRPr="00BB74C7">
        <w:rPr>
          <w:i/>
        </w:rPr>
        <w:t>Curr Opinion Endocr Metab Res</w:t>
      </w:r>
      <w:r w:rsidR="00BB74C7">
        <w:t xml:space="preserve">. 2019, 8, </w:t>
      </w:r>
      <w:r>
        <w:t>80-87. https://doi.org/10.1016/j.coemr.2019.07.007</w:t>
      </w:r>
    </w:p>
    <w:p w14:paraId="750748BC" w14:textId="77777777" w:rsidR="00487DE1" w:rsidRDefault="00487DE1" w:rsidP="008963F1">
      <w:pPr>
        <w:pStyle w:val="MDPI71References"/>
      </w:pPr>
      <w:r>
        <w:t xml:space="preserve">Creemers SG, van Koetsveld PM, van den Dungen ES, Korpershoek E, van Kemenade FJ, Franssen GJ, de Herder WW, Feelders RA, Hofland LJ Inhibition of Human Adrenocortical Cancer Cell Growth by Temozolomide in Vitro and the Role of the MGMT Gene. </w:t>
      </w:r>
      <w:r w:rsidRPr="00BB74C7">
        <w:rPr>
          <w:i/>
        </w:rPr>
        <w:t>J Clin Endocrinol Metab</w:t>
      </w:r>
      <w:r w:rsidR="00BB74C7">
        <w:t>. 2016,</w:t>
      </w:r>
      <w:r>
        <w:t xml:space="preserve"> 101(12)</w:t>
      </w:r>
      <w:r w:rsidR="00BB74C7">
        <w:t xml:space="preserve">, </w:t>
      </w:r>
      <w:r>
        <w:t>4574-4584.</w:t>
      </w:r>
    </w:p>
    <w:p w14:paraId="337E4EA8" w14:textId="77777777" w:rsidR="00487DE1" w:rsidRPr="008963F1" w:rsidRDefault="00487DE1" w:rsidP="008963F1">
      <w:pPr>
        <w:pStyle w:val="MDPI71References"/>
      </w:pPr>
      <w:r w:rsidRPr="00BB74C7">
        <w:rPr>
          <w:lang w:val="it-IT"/>
        </w:rPr>
        <w:t>Cosentini D, Badalamenti G, Grisanti S, Basile V, Rapa I, Cerri S, Spallanzani A, Perotti P, Musso E, Laganà M, Ferrari V, Luppi G, Dalla Vola A, Incorvaia L, Sigala S, Volante M, Terzolo M, Berruti A</w:t>
      </w:r>
      <w:r w:rsidR="00BB74C7" w:rsidRPr="00BB74C7">
        <w:rPr>
          <w:lang w:val="it-IT"/>
        </w:rPr>
        <w:t>.</w:t>
      </w:r>
      <w:r w:rsidRPr="00BB74C7">
        <w:rPr>
          <w:lang w:val="it-IT"/>
        </w:rPr>
        <w:t xml:space="preserve"> Activity and safety of temozolomide in advanced adrenocortical carcinoma patients. </w:t>
      </w:r>
      <w:r w:rsidRPr="00BB74C7">
        <w:rPr>
          <w:i/>
        </w:rPr>
        <w:t>Eur J Endocrinol</w:t>
      </w:r>
      <w:r w:rsidR="00BB74C7">
        <w:t>. 2019,</w:t>
      </w:r>
      <w:r w:rsidRPr="00BB74C7">
        <w:t xml:space="preserve"> 181(6)</w:t>
      </w:r>
      <w:r w:rsidR="00BB74C7">
        <w:t>,</w:t>
      </w:r>
      <w:r w:rsidR="00BB74C7" w:rsidRPr="00BB74C7">
        <w:t xml:space="preserve"> </w:t>
      </w:r>
      <w:r w:rsidRPr="00BB74C7">
        <w:t>681-689. https://doi.org/doi: 10.1530/EJE-19-0570.</w:t>
      </w:r>
    </w:p>
    <w:p w14:paraId="0F9C4E56" w14:textId="77777777" w:rsidR="00487DE1" w:rsidRPr="00BB74C7" w:rsidRDefault="00487DE1" w:rsidP="008963F1">
      <w:pPr>
        <w:pStyle w:val="MDPI71References"/>
      </w:pPr>
      <w:r>
        <w:t>D'Incalci M, Galmarini CM</w:t>
      </w:r>
      <w:r w:rsidR="00BB74C7">
        <w:t>.</w:t>
      </w:r>
      <w:r>
        <w:t xml:space="preserve"> A Review of Trabectedin (ET-743): A Unique Mechanism of Action.  </w:t>
      </w:r>
      <w:r w:rsidRPr="00BB74C7">
        <w:rPr>
          <w:i/>
        </w:rPr>
        <w:t>Mol Cancer Ther.</w:t>
      </w:r>
      <w:r>
        <w:t xml:space="preserve"> </w:t>
      </w:r>
      <w:r w:rsidR="00BB74C7">
        <w:t xml:space="preserve">2010, 9(8), </w:t>
      </w:r>
      <w:r>
        <w:t>2157-63. https://doi.org/10.1158/1535-7163</w:t>
      </w:r>
    </w:p>
    <w:p w14:paraId="7A7601C5" w14:textId="77777777" w:rsidR="00487DE1" w:rsidRDefault="00487DE1" w:rsidP="008963F1">
      <w:pPr>
        <w:pStyle w:val="MDPI71References"/>
      </w:pPr>
      <w:r>
        <w:t>Pérez-Losada J, Pintado B, Gutiérrez-Adán A, Flores T, Bañares-González B, del Campo JC, Martín-Martín J</w:t>
      </w:r>
      <w:r w:rsidR="00BB74C7">
        <w:t xml:space="preserve">F, Battaner E, Sánchez-García I. </w:t>
      </w:r>
      <w:r>
        <w:t xml:space="preserve">The chimeric FUS/TLS-CHOP fusion protein specifically induces liposarcomas in transgenic mice. </w:t>
      </w:r>
      <w:r w:rsidRPr="00BB74C7">
        <w:rPr>
          <w:i/>
        </w:rPr>
        <w:t>Oncogene</w:t>
      </w:r>
      <w:r w:rsidR="00BB74C7">
        <w:t xml:space="preserve">. 2000, 19(20), </w:t>
      </w:r>
      <w:r>
        <w:t>2413-2422.</w:t>
      </w:r>
    </w:p>
    <w:p w14:paraId="1C2EDC2D" w14:textId="77777777" w:rsidR="00487DE1" w:rsidRDefault="00BB74C7" w:rsidP="008963F1">
      <w:pPr>
        <w:pStyle w:val="MDPI71References"/>
      </w:pPr>
      <w:r>
        <w:t xml:space="preserve">Owen L, Kowaleski A, Lessnick S. </w:t>
      </w:r>
      <w:r w:rsidR="00487DE1">
        <w:t xml:space="preserve">EWS/FLI mediates transcriptional repression via NKX2.2 during oncogenic transformation in Ewing's sarcoma. </w:t>
      </w:r>
      <w:r w:rsidR="00487DE1" w:rsidRPr="00BB74C7">
        <w:rPr>
          <w:i/>
        </w:rPr>
        <w:t>PLoS One</w:t>
      </w:r>
      <w:r>
        <w:t xml:space="preserve">. 2008, 3(4), </w:t>
      </w:r>
      <w:r w:rsidR="00487DE1">
        <w:t>e1965. https://doi.org/ 10.1371/journal.pone.0001965.</w:t>
      </w:r>
    </w:p>
    <w:p w14:paraId="4CC17CB2" w14:textId="77777777" w:rsidR="00487DE1" w:rsidRDefault="00487DE1" w:rsidP="008963F1">
      <w:pPr>
        <w:pStyle w:val="MDPI71References"/>
      </w:pPr>
      <w:r>
        <w:t>Peraldo-Neia C, Cavalloni G, Soster M, Gammaitoni L, Marchiò S, Sassi F, Trusolino L, Bertotti A, Medico E, Capussotti L et al Anti-cancer effect and gene modulation of ET-743 in human biliary tract carcinoma</w:t>
      </w:r>
      <w:r w:rsidR="00BB74C7">
        <w:t xml:space="preserve"> preclinical models. </w:t>
      </w:r>
      <w:r w:rsidR="00BB74C7" w:rsidRPr="00BB74C7">
        <w:rPr>
          <w:i/>
        </w:rPr>
        <w:t>BMC Cancer</w:t>
      </w:r>
      <w:r w:rsidR="00BB74C7">
        <w:t xml:space="preserve">. 2014, 14, </w:t>
      </w:r>
      <w:r>
        <w:t>918. https://doi.org/ 10.1186/1471-2407-14-918.</w:t>
      </w:r>
    </w:p>
    <w:p w14:paraId="35D9840B" w14:textId="77777777" w:rsidR="00487DE1" w:rsidRDefault="00BB74C7" w:rsidP="008963F1">
      <w:pPr>
        <w:pStyle w:val="MDPI71References"/>
      </w:pPr>
      <w:r>
        <w:t xml:space="preserve">MacDonald BT, Tamai K, </w:t>
      </w:r>
      <w:r w:rsidR="00487DE1">
        <w:t>He X</w:t>
      </w:r>
      <w:r>
        <w:t>.</w:t>
      </w:r>
      <w:r w:rsidR="00487DE1">
        <w:t xml:space="preserve"> Wnt/beta-catenin signaling: components, mec</w:t>
      </w:r>
      <w:r>
        <w:t xml:space="preserve">hanisms, and diseases. </w:t>
      </w:r>
      <w:r w:rsidRPr="0027360E">
        <w:rPr>
          <w:i/>
        </w:rPr>
        <w:t>Dev Cell</w:t>
      </w:r>
      <w:r>
        <w:t xml:space="preserve">. </w:t>
      </w:r>
      <w:r w:rsidR="0027360E">
        <w:t xml:space="preserve">2009, </w:t>
      </w:r>
      <w:r w:rsidR="00487DE1">
        <w:t>17(1)</w:t>
      </w:r>
      <w:r w:rsidR="0027360E">
        <w:t xml:space="preserve">, </w:t>
      </w:r>
      <w:r w:rsidR="00487DE1">
        <w:t>9-26. https://doi.org/10.1016/j.devcel.2009.06.016.</w:t>
      </w:r>
    </w:p>
    <w:p w14:paraId="74AB697E" w14:textId="77777777" w:rsidR="00487DE1" w:rsidRDefault="00487DE1" w:rsidP="00487DE1">
      <w:pPr>
        <w:pStyle w:val="MDPI71References"/>
      </w:pPr>
      <w:r>
        <w:t>Lea VH, Inaib M, Williams RM, Kanb T</w:t>
      </w:r>
      <w:r w:rsidR="0027360E">
        <w:t>.</w:t>
      </w:r>
      <w:r>
        <w:t xml:space="preserve"> Ecteinascidins. A Review of the Chemistry, Biology and Clinical Utility of Potent Tetrahydroisoquinoline Antitumor Antibiotics. </w:t>
      </w:r>
      <w:r w:rsidRPr="0027360E">
        <w:rPr>
          <w:i/>
        </w:rPr>
        <w:t>Nat Prod Rep</w:t>
      </w:r>
      <w:r w:rsidR="0027360E">
        <w:t xml:space="preserve">. 2015, </w:t>
      </w:r>
      <w:r>
        <w:t>32(2)</w:t>
      </w:r>
      <w:r w:rsidR="0027360E">
        <w:t>,</w:t>
      </w:r>
      <w:r>
        <w:t xml:space="preserve"> 328–347. https://doi.org/10.1039/c4np00051j</w:t>
      </w:r>
    </w:p>
    <w:p w14:paraId="6EFAFC42" w14:textId="77777777" w:rsidR="00487DE1" w:rsidRDefault="00487DE1" w:rsidP="00487DE1">
      <w:pPr>
        <w:pStyle w:val="MDPI71References"/>
      </w:pPr>
      <w:r>
        <w:t>Li WW, Takahashi N, Jhanwar S, Cordon-Cardo C, Elisseyeff Y, Ji</w:t>
      </w:r>
      <w:r w:rsidR="0027360E">
        <w:t xml:space="preserve">meno J, Faircloth G, Bertino JR. </w:t>
      </w:r>
      <w:r>
        <w:t xml:space="preserve">Sensitivity of soft tissue sarcoma cell lines to chemotherapeutic agents: identification of ecteinascidin-743 as a potent cytotoxic agent. </w:t>
      </w:r>
      <w:r w:rsidRPr="0027360E">
        <w:rPr>
          <w:i/>
        </w:rPr>
        <w:t>Clin Cancer Res</w:t>
      </w:r>
      <w:r w:rsidR="0027360E">
        <w:t xml:space="preserve">. 2001, 7(9), </w:t>
      </w:r>
      <w:r>
        <w:t>2908-2911.</w:t>
      </w:r>
    </w:p>
    <w:p w14:paraId="2DAC68FD" w14:textId="77777777" w:rsidR="00487DE1" w:rsidRDefault="00487DE1" w:rsidP="008963F1">
      <w:pPr>
        <w:pStyle w:val="MDPI71References"/>
      </w:pPr>
      <w:r>
        <w:t>Mabuchi S, Hisamatsu T, Kawase C, Hayashi M, Sawada K, Mimura K, Takahashi K, Takahashi T, Kurachi H, Kimura T</w:t>
      </w:r>
      <w:r w:rsidR="0027360E">
        <w:t>.</w:t>
      </w:r>
      <w:r>
        <w:t xml:space="preserve"> The activity of trabectedin as a single agent or in combination with everolimus for clear cell carcinoma of the ovary. </w:t>
      </w:r>
      <w:r w:rsidRPr="0027360E">
        <w:rPr>
          <w:i/>
        </w:rPr>
        <w:t>Clin Cancer Res</w:t>
      </w:r>
      <w:r w:rsidR="0027360E">
        <w:t xml:space="preserve">. 2011, </w:t>
      </w:r>
      <w:r>
        <w:t>17(13)</w:t>
      </w:r>
      <w:r w:rsidR="0027360E">
        <w:t xml:space="preserve">, </w:t>
      </w:r>
      <w:r>
        <w:t xml:space="preserve">4462–4473. </w:t>
      </w:r>
    </w:p>
    <w:p w14:paraId="4A4472DF" w14:textId="77777777" w:rsidR="00487DE1" w:rsidRDefault="00487DE1" w:rsidP="008963F1">
      <w:pPr>
        <w:pStyle w:val="MDPI71References"/>
      </w:pPr>
      <w:r>
        <w:t>Cvetko</w:t>
      </w:r>
      <w:r w:rsidR="0027360E">
        <w:t xml:space="preserve">vic RS, Figgitt DP, Plosker GL. </w:t>
      </w:r>
      <w:r>
        <w:t xml:space="preserve">ET-743. </w:t>
      </w:r>
      <w:r w:rsidRPr="0027360E">
        <w:rPr>
          <w:i/>
        </w:rPr>
        <w:t>Drugs</w:t>
      </w:r>
      <w:r w:rsidR="0027360E">
        <w:t>.</w:t>
      </w:r>
      <w:r>
        <w:t xml:space="preserve"> </w:t>
      </w:r>
      <w:r w:rsidR="0027360E">
        <w:t xml:space="preserve">2002, 62(8), </w:t>
      </w:r>
      <w:r>
        <w:t>1185-1192</w:t>
      </w:r>
    </w:p>
    <w:p w14:paraId="3EF7C15C" w14:textId="77777777" w:rsidR="00487DE1" w:rsidRPr="0027360E" w:rsidRDefault="00487DE1" w:rsidP="008963F1">
      <w:pPr>
        <w:pStyle w:val="MDPI71References"/>
        <w:rPr>
          <w:lang w:val="it-IT"/>
        </w:rPr>
      </w:pPr>
      <w:r>
        <w:t>Gaujoux S, Grabar S, Fassnacht M, Ragazzon B, Launay P, Libé R, Chokri I, Audebourg A, Royer B, Sbiera S et al</w:t>
      </w:r>
      <w:r w:rsidR="0027360E">
        <w:t>.</w:t>
      </w:r>
      <w:r>
        <w:t xml:space="preserve"> β-catenin activation is associated with specific clinical and pathologic characteristics and a poor outcome in adrenocortical carcinoma. </w:t>
      </w:r>
      <w:r w:rsidRPr="0027360E">
        <w:rPr>
          <w:i/>
          <w:lang w:val="it-IT"/>
        </w:rPr>
        <w:t>Clin Cancer Res</w:t>
      </w:r>
      <w:r w:rsidR="0027360E" w:rsidRPr="0027360E">
        <w:rPr>
          <w:lang w:val="it-IT"/>
        </w:rPr>
        <w:t>.</w:t>
      </w:r>
      <w:r w:rsidR="0027360E">
        <w:rPr>
          <w:lang w:val="it-IT"/>
        </w:rPr>
        <w:t xml:space="preserve"> 2011, 17(2), </w:t>
      </w:r>
      <w:r w:rsidRPr="0027360E">
        <w:rPr>
          <w:lang w:val="it-IT"/>
        </w:rPr>
        <w:t>328-336. https://doi.org/10.1158/1078-0432.CCR-10-2006</w:t>
      </w:r>
    </w:p>
    <w:p w14:paraId="41C1B2ED" w14:textId="77777777" w:rsidR="00487DE1" w:rsidRPr="00437FFD" w:rsidRDefault="00487DE1" w:rsidP="008963F1">
      <w:pPr>
        <w:pStyle w:val="MDPI71References"/>
      </w:pPr>
      <w:r w:rsidRPr="008963F1">
        <w:rPr>
          <w:lang w:val="it-IT"/>
        </w:rPr>
        <w:t>Cosentini D, Grisanti S, Dalla Volta A, Laganà M, Fiorentini C, Perotti P, Sigala S, Berruti A</w:t>
      </w:r>
      <w:r w:rsidR="00437FFD">
        <w:rPr>
          <w:lang w:val="it-IT"/>
        </w:rPr>
        <w:t>.</w:t>
      </w:r>
      <w:r w:rsidRPr="008963F1">
        <w:rPr>
          <w:lang w:val="it-IT"/>
        </w:rPr>
        <w:t xml:space="preserve">  </w:t>
      </w:r>
      <w:r w:rsidRPr="00437FFD">
        <w:t>Immunotherapy failure in adrenocorti</w:t>
      </w:r>
      <w:r w:rsidR="00437FFD" w:rsidRPr="00437FFD">
        <w:t xml:space="preserve">cal cancer: where next? </w:t>
      </w:r>
      <w:r w:rsidR="00437FFD" w:rsidRPr="00437FFD">
        <w:rPr>
          <w:i/>
        </w:rPr>
        <w:t xml:space="preserve">Endocr </w:t>
      </w:r>
      <w:r w:rsidRPr="00437FFD">
        <w:rPr>
          <w:i/>
        </w:rPr>
        <w:t>Co</w:t>
      </w:r>
      <w:r w:rsidR="00437FFD">
        <w:rPr>
          <w:i/>
        </w:rPr>
        <w:t xml:space="preserve">nnect. </w:t>
      </w:r>
      <w:r w:rsidR="00437FFD">
        <w:t>2018,</w:t>
      </w:r>
      <w:r w:rsidR="00437FFD" w:rsidRPr="00437FFD">
        <w:t xml:space="preserve"> </w:t>
      </w:r>
      <w:r w:rsidR="00437FFD">
        <w:t xml:space="preserve">7(12), </w:t>
      </w:r>
      <w:r w:rsidRPr="00437FFD">
        <w:t xml:space="preserve">E5–E8. https://doi.org/10.1530/EC-18-0398 </w:t>
      </w:r>
    </w:p>
    <w:p w14:paraId="3EF9F308" w14:textId="77777777" w:rsidR="00487DE1" w:rsidRPr="00437FFD" w:rsidRDefault="00487DE1" w:rsidP="008963F1">
      <w:pPr>
        <w:pStyle w:val="MDPI71References"/>
        <w:rPr>
          <w:lang w:val="it-IT"/>
        </w:rPr>
      </w:pPr>
      <w:r w:rsidRPr="00437FFD">
        <w:rPr>
          <w:lang w:val="it-IT"/>
        </w:rPr>
        <w:lastRenderedPageBreak/>
        <w:t>Fiorentini C, Grisanti S, Cosentini D, Abate A, Rossini E, Berruti A, Sigala</w:t>
      </w:r>
      <w:r w:rsidR="00437FFD" w:rsidRPr="00437FFD">
        <w:rPr>
          <w:lang w:val="it-IT"/>
        </w:rPr>
        <w:t xml:space="preserve">. </w:t>
      </w:r>
      <w:r w:rsidRPr="00437FFD">
        <w:rPr>
          <w:lang w:val="it-IT"/>
        </w:rPr>
        <w:t xml:space="preserve"> </w:t>
      </w:r>
      <w:r w:rsidRPr="00A06154">
        <w:t>Molecular Drivers of Potential Immunotherapy Failure in Ad</w:t>
      </w:r>
      <w:r w:rsidR="00437FFD" w:rsidRPr="00A06154">
        <w:t xml:space="preserve">renocortical Carcinoma. </w:t>
      </w:r>
      <w:r w:rsidR="00437FFD" w:rsidRPr="00A06154">
        <w:rPr>
          <w:i/>
        </w:rPr>
        <w:t>J Oncol</w:t>
      </w:r>
      <w:r w:rsidR="00437FFD" w:rsidRPr="00A06154">
        <w:t xml:space="preserve">. </w:t>
      </w:r>
      <w:r w:rsidR="00437FFD" w:rsidRPr="00437FFD">
        <w:rPr>
          <w:lang w:val="it-IT"/>
        </w:rPr>
        <w:t>2019</w:t>
      </w:r>
      <w:r w:rsidR="00437FFD">
        <w:rPr>
          <w:lang w:val="it-IT"/>
        </w:rPr>
        <w:t xml:space="preserve">, 2019, </w:t>
      </w:r>
      <w:r w:rsidRPr="00437FFD">
        <w:rPr>
          <w:lang w:val="it-IT"/>
        </w:rPr>
        <w:t xml:space="preserve">6072863. https://doi.org/10.1155/2019/6072863 </w:t>
      </w:r>
    </w:p>
    <w:p w14:paraId="15ED57F2" w14:textId="77777777" w:rsidR="00487DE1" w:rsidRPr="00437FFD" w:rsidRDefault="00487DE1" w:rsidP="008963F1">
      <w:pPr>
        <w:pStyle w:val="MDPI71References"/>
      </w:pPr>
      <w:r w:rsidRPr="00A06154">
        <w:rPr>
          <w:lang w:val="it-IT"/>
        </w:rPr>
        <w:t>Tissier F, Cavard C, Groussin L, Perlemoine K, Fumey G, Hagneré AM, René-Corail F, Jullian E, Gicquel C, Bertagna X, et al</w:t>
      </w:r>
      <w:r w:rsidR="00437FFD" w:rsidRPr="00A06154">
        <w:rPr>
          <w:lang w:val="it-IT"/>
        </w:rPr>
        <w:t>.</w:t>
      </w:r>
      <w:r w:rsidRPr="00A06154">
        <w:rPr>
          <w:lang w:val="it-IT"/>
        </w:rPr>
        <w:t xml:space="preserve"> </w:t>
      </w:r>
      <w:r>
        <w:t xml:space="preserve">Mutations of beta-catenin in adrenocortical tumors: activation of the Wnt signaling pathway is a frequent event in both benign and malignant adrenocortical tumors. </w:t>
      </w:r>
      <w:r w:rsidRPr="00437FFD">
        <w:rPr>
          <w:i/>
        </w:rPr>
        <w:t>Cancer Res</w:t>
      </w:r>
      <w:r w:rsidR="00437FFD">
        <w:t>.</w:t>
      </w:r>
      <w:r>
        <w:t xml:space="preserve"> </w:t>
      </w:r>
      <w:r w:rsidR="00437FFD">
        <w:t xml:space="preserve">2005, 65(17), </w:t>
      </w:r>
      <w:r>
        <w:t>7622-7.</w:t>
      </w:r>
    </w:p>
    <w:p w14:paraId="4D5390D1" w14:textId="77777777" w:rsidR="00487DE1" w:rsidRDefault="00487DE1" w:rsidP="008963F1">
      <w:pPr>
        <w:pStyle w:val="MDPI71References"/>
      </w:pPr>
      <w:r w:rsidRPr="00A06154">
        <w:rPr>
          <w:lang w:val="es-ES"/>
        </w:rPr>
        <w:t>Leal LF, Bueno AC, Gomes DC, Abduch R, de Castro M, Antonini SR</w:t>
      </w:r>
      <w:r w:rsidR="00437FFD" w:rsidRPr="00A06154">
        <w:rPr>
          <w:lang w:val="es-ES"/>
        </w:rPr>
        <w:t>.</w:t>
      </w:r>
      <w:r w:rsidRPr="00A06154">
        <w:rPr>
          <w:lang w:val="es-ES"/>
        </w:rPr>
        <w:t xml:space="preserve"> </w:t>
      </w:r>
      <w:r>
        <w:t>Inhibition of the Tcf/beta-catenin complex increases apoptosis and impairs adrenocortical tumor cell proliferation and adrenal steroi</w:t>
      </w:r>
      <w:r w:rsidR="00437FFD">
        <w:t xml:space="preserve">dogenesis. </w:t>
      </w:r>
      <w:r w:rsidR="00437FFD" w:rsidRPr="00437FFD">
        <w:rPr>
          <w:i/>
        </w:rPr>
        <w:t>Oncotarget</w:t>
      </w:r>
      <w:r w:rsidR="00437FFD">
        <w:t xml:space="preserve"> 2015, 6(40), </w:t>
      </w:r>
      <w:r>
        <w:t>43016-32. https://doi.org/10.18632/oncotarget.5513</w:t>
      </w:r>
    </w:p>
    <w:p w14:paraId="19E77AB8" w14:textId="77777777" w:rsidR="00487DE1" w:rsidRPr="00437FFD" w:rsidRDefault="00487DE1" w:rsidP="008963F1">
      <w:pPr>
        <w:pStyle w:val="MDPI71References"/>
        <w:rPr>
          <w:lang w:val="it-IT"/>
        </w:rPr>
      </w:pPr>
      <w:r w:rsidRPr="00437FFD">
        <w:rPr>
          <w:lang w:val="it-IT"/>
        </w:rPr>
        <w:t>Fiorentini C, Fragni M, Perego P, Vezzol S, Bonini SA, Tortoreto M, Galli D, Claps M, Tiberio GA et al</w:t>
      </w:r>
      <w:r w:rsidR="00437FFD" w:rsidRPr="00437FFD">
        <w:rPr>
          <w:lang w:val="it-IT"/>
        </w:rPr>
        <w:t>.</w:t>
      </w:r>
      <w:r w:rsidRPr="00437FFD">
        <w:rPr>
          <w:lang w:val="it-IT"/>
        </w:rPr>
        <w:t xml:space="preserve"> </w:t>
      </w:r>
      <w:r w:rsidRPr="00437FFD">
        <w:t xml:space="preserve">Antisecretive and Antitumor Activity of Abiraterone Acetate in Human Adrenocortical Cancer: A Preclinical Study. </w:t>
      </w:r>
      <w:r w:rsidRPr="00437FFD">
        <w:rPr>
          <w:i/>
          <w:lang w:val="it-IT"/>
        </w:rPr>
        <w:t>J Clin Endocrinol Metab</w:t>
      </w:r>
      <w:r w:rsidR="00437FFD">
        <w:rPr>
          <w:lang w:val="it-IT"/>
        </w:rPr>
        <w:t xml:space="preserve">. 2016, 101(12), </w:t>
      </w:r>
      <w:r w:rsidRPr="00437FFD">
        <w:rPr>
          <w:lang w:val="it-IT"/>
        </w:rPr>
        <w:t>4594-4602.</w:t>
      </w:r>
    </w:p>
    <w:p w14:paraId="605BA1AF" w14:textId="77777777" w:rsidR="00487DE1" w:rsidRPr="00437FFD" w:rsidRDefault="00487DE1" w:rsidP="008963F1">
      <w:pPr>
        <w:pStyle w:val="MDPI71References"/>
        <w:rPr>
          <w:lang w:val="it-IT"/>
        </w:rPr>
      </w:pPr>
      <w:r w:rsidRPr="008963F1">
        <w:rPr>
          <w:lang w:val="it-IT"/>
        </w:rPr>
        <w:t>Fragni M, Fiorentini C, Rossini E, Fisogni S, Vezzoli S, Bonini SA, Dalmiglio C, Grisanti S, Tiberio GAM, Claps M et al</w:t>
      </w:r>
      <w:r w:rsidR="00437FFD">
        <w:rPr>
          <w:lang w:val="it-IT"/>
        </w:rPr>
        <w:t>.</w:t>
      </w:r>
      <w:r w:rsidRPr="008963F1">
        <w:rPr>
          <w:lang w:val="it-IT"/>
        </w:rPr>
        <w:t xml:space="preserve"> In vitro antitumor activity of progesterone in human adrenocortical carcinoma. </w:t>
      </w:r>
      <w:r w:rsidRPr="00437FFD">
        <w:rPr>
          <w:i/>
          <w:lang w:val="it-IT"/>
        </w:rPr>
        <w:t>Endocrine</w:t>
      </w:r>
      <w:r w:rsidRPr="008963F1">
        <w:rPr>
          <w:lang w:val="it-IT"/>
        </w:rPr>
        <w:t xml:space="preserve"> </w:t>
      </w:r>
      <w:r w:rsidR="00437FFD">
        <w:rPr>
          <w:lang w:val="it-IT"/>
        </w:rPr>
        <w:t xml:space="preserve">2019, 63(3), </w:t>
      </w:r>
      <w:r w:rsidRPr="008963F1">
        <w:rPr>
          <w:lang w:val="it-IT"/>
        </w:rPr>
        <w:t>592–601. https://doi.org/10.1007/s12020-018-1795-x</w:t>
      </w:r>
    </w:p>
    <w:p w14:paraId="3656A34C" w14:textId="77777777" w:rsidR="00487DE1" w:rsidRPr="00437FFD" w:rsidRDefault="00487DE1" w:rsidP="008963F1">
      <w:pPr>
        <w:pStyle w:val="MDPI71References"/>
      </w:pPr>
      <w:r w:rsidRPr="00437FFD">
        <w:t>Graham TA, Clements WK, Kimelman D, Xu W</w:t>
      </w:r>
      <w:r w:rsidR="00437FFD" w:rsidRPr="00437FFD">
        <w:t>.</w:t>
      </w:r>
      <w:r w:rsidRPr="00437FFD">
        <w:t xml:space="preserve"> The crystal structure of the beta-catenin/ICAT comple</w:t>
      </w:r>
      <w:r>
        <w:t xml:space="preserve">x reveals the inhibitory mechanism of ICAT. </w:t>
      </w:r>
      <w:r w:rsidRPr="00437FFD">
        <w:rPr>
          <w:i/>
        </w:rPr>
        <w:t>Mol Cell</w:t>
      </w:r>
      <w:r w:rsidR="00437FFD">
        <w:t xml:space="preserve">. 2002, 10(3), </w:t>
      </w:r>
      <w:r>
        <w:t>563-71.</w:t>
      </w:r>
    </w:p>
    <w:p w14:paraId="34C36397" w14:textId="77777777" w:rsidR="00487DE1" w:rsidRDefault="00487DE1" w:rsidP="008963F1">
      <w:pPr>
        <w:pStyle w:val="MDPI71References"/>
      </w:pPr>
      <w:r>
        <w:t>Lee AY, He B, You L, Xu Z, Mazieres J, Reguart N, Mikami I, Batra S, Jablons DM</w:t>
      </w:r>
      <w:r w:rsidR="00437FFD">
        <w:t>.</w:t>
      </w:r>
      <w:r>
        <w:t xml:space="preserve"> Dickkopf-1 antagonizes Wnt signaling independent of beta-catenin in human meso</w:t>
      </w:r>
      <w:r w:rsidR="00437FFD">
        <w:t xml:space="preserve">thelioma, </w:t>
      </w:r>
      <w:r w:rsidR="00437FFD" w:rsidRPr="00437FFD">
        <w:rPr>
          <w:i/>
        </w:rPr>
        <w:t>Biochem Biophys Res</w:t>
      </w:r>
      <w:r w:rsidRPr="00437FFD">
        <w:rPr>
          <w:i/>
        </w:rPr>
        <w:t xml:space="preserve"> Commun</w:t>
      </w:r>
      <w:r w:rsidR="00437FFD">
        <w:t xml:space="preserve">. 2004, 323(4), </w:t>
      </w:r>
      <w:r>
        <w:t>1246–1250.</w:t>
      </w:r>
    </w:p>
    <w:p w14:paraId="46D06E8C" w14:textId="5938720E" w:rsidR="00487DE1" w:rsidRDefault="00437FFD" w:rsidP="008963F1">
      <w:pPr>
        <w:pStyle w:val="MDPI71References"/>
      </w:pPr>
      <w:r>
        <w:t xml:space="preserve">Huang Y, Liu L &amp; Liu A. </w:t>
      </w:r>
      <w:r w:rsidR="00487DE1">
        <w:t>Dickkopf-1: Current knowledge an</w:t>
      </w:r>
      <w:r>
        <w:t xml:space="preserve">d related diseases. </w:t>
      </w:r>
      <w:r w:rsidRPr="00437FFD">
        <w:rPr>
          <w:i/>
        </w:rPr>
        <w:t>Life Sci</w:t>
      </w:r>
      <w:r>
        <w:t xml:space="preserve">. 2018, 209, </w:t>
      </w:r>
      <w:r w:rsidR="00487DE1">
        <w:t xml:space="preserve">249-254.  </w:t>
      </w:r>
      <w:hyperlink r:id="rId13" w:history="1">
        <w:r w:rsidR="0027775E" w:rsidRPr="00D91E67">
          <w:rPr>
            <w:rStyle w:val="Collegamentoipertestuale"/>
          </w:rPr>
          <w:t>https://doi.org/10.1016/j.lfs.2018.08.019</w:t>
        </w:r>
      </w:hyperlink>
    </w:p>
    <w:p w14:paraId="6C24E3C6" w14:textId="3D2245D1" w:rsidR="0027775E" w:rsidRDefault="0027775E" w:rsidP="008963F1">
      <w:pPr>
        <w:pStyle w:val="MDPI71References"/>
      </w:pPr>
      <w:r>
        <w:t xml:space="preserve">Shou J, Ali-Osman F, Multani AS, Pathak S, Fedi P, Srivenugopal KS. Human Dkk-1, a gene encoding a Wnt antagonist, responds to DNA damage and its overexpression sensitizes brain tumor cells to apoptosis following alkylation damage of DNA. </w:t>
      </w:r>
      <w:r>
        <w:rPr>
          <w:i/>
        </w:rPr>
        <w:t xml:space="preserve">Oncogene. </w:t>
      </w:r>
      <w:r>
        <w:t>2002, 21(6)</w:t>
      </w:r>
      <w:r w:rsidR="00057DFA">
        <w:t>, 878-889.</w:t>
      </w:r>
    </w:p>
    <w:p w14:paraId="01431436" w14:textId="6EEA2820" w:rsidR="00600C18" w:rsidRPr="00057DFA" w:rsidRDefault="00057DFA" w:rsidP="00600C18">
      <w:pPr>
        <w:pStyle w:val="MDPI71References"/>
      </w:pPr>
      <w:r w:rsidRPr="00057DFA">
        <w:t>Gonz</w:t>
      </w:r>
      <w:r w:rsidRPr="000B038C">
        <w:rPr>
          <w:rFonts w:ascii="spanish" w:hAnsi="spanish" w:hint="eastAsia"/>
        </w:rPr>
        <w:t>á</w:t>
      </w:r>
      <w:r w:rsidRPr="00057DFA">
        <w:t xml:space="preserve">lez-Sancho JM, Aguilera O, </w:t>
      </w:r>
      <w:r w:rsidRPr="000B038C">
        <w:t>Garc</w:t>
      </w:r>
      <w:r>
        <w:t>í</w:t>
      </w:r>
      <w:r w:rsidRPr="000B038C">
        <w:t>a JM, Pend</w:t>
      </w:r>
      <w:r w:rsidRPr="000B038C">
        <w:rPr>
          <w:rFonts w:ascii="spanish" w:hAnsi="spanish" w:hint="eastAsia"/>
        </w:rPr>
        <w:t>á</w:t>
      </w:r>
      <w:r w:rsidRPr="000B038C">
        <w:t>s-Franco N, Pe</w:t>
      </w:r>
      <w:r w:rsidRPr="000B038C">
        <w:rPr>
          <w:rFonts w:ascii="spanish" w:hAnsi="spanish" w:hint="eastAsia"/>
        </w:rPr>
        <w:t>ñ</w:t>
      </w:r>
      <w:r w:rsidRPr="000B038C">
        <w:rPr>
          <w:rFonts w:ascii="spanish" w:hAnsi="spanish"/>
        </w:rPr>
        <w:t>a C, Cal S, Garc</w:t>
      </w:r>
      <w:r>
        <w:t>í</w:t>
      </w:r>
      <w:r w:rsidRPr="000B038C">
        <w:rPr>
          <w:rFonts w:ascii="spanish" w:hAnsi="spanish"/>
        </w:rPr>
        <w:t>a de Herr</w:t>
      </w:r>
      <w:r>
        <w:rPr>
          <w:rFonts w:ascii="spanish" w:hAnsi="spanish"/>
        </w:rPr>
        <w:t>eros A, Bonilla F, Mu</w:t>
      </w:r>
      <w:r w:rsidRPr="00185869">
        <w:rPr>
          <w:rFonts w:ascii="spanish" w:hAnsi="spanish"/>
        </w:rPr>
        <w:t>ñ</w:t>
      </w:r>
      <w:r>
        <w:rPr>
          <w:rFonts w:ascii="spanish" w:hAnsi="spanish"/>
        </w:rPr>
        <w:t>oz A. The Wnt antagonist DICKKOPF-1 gene is a downstream target of beta-catenin/</w:t>
      </w:r>
      <w:r w:rsidR="00600C18">
        <w:rPr>
          <w:rFonts w:ascii="spanish" w:hAnsi="spanish"/>
        </w:rPr>
        <w:t xml:space="preserve">TCF and is downregulated in human colon cancer. </w:t>
      </w:r>
      <w:r w:rsidR="00600C18">
        <w:rPr>
          <w:i/>
        </w:rPr>
        <w:t xml:space="preserve">Oncogene. </w:t>
      </w:r>
      <w:r w:rsidR="00600C18">
        <w:t>2005, 24(6), 1098-1103.</w:t>
      </w:r>
    </w:p>
    <w:p w14:paraId="452DD0C5" w14:textId="77777777" w:rsidR="00487DE1" w:rsidRDefault="00487DE1" w:rsidP="008963F1">
      <w:pPr>
        <w:pStyle w:val="MDPI71References"/>
      </w:pPr>
      <w:r>
        <w:t>Fu DY, Wang ZM, Li-Chen, Wang BL, Shen ZZ, Huang W, Shao ZM</w:t>
      </w:r>
      <w:r w:rsidR="00437FFD">
        <w:t>.</w:t>
      </w:r>
      <w:r>
        <w:t xml:space="preserve"> Sox17, the canonical Wnt antagonist, is epigenetically inactivated by promoter methylation in human breast cancer. </w:t>
      </w:r>
      <w:r w:rsidRPr="00437FFD">
        <w:rPr>
          <w:i/>
        </w:rPr>
        <w:t>Breast Cancer Res Treat</w:t>
      </w:r>
      <w:r w:rsidR="00437FFD">
        <w:rPr>
          <w:i/>
        </w:rPr>
        <w:t xml:space="preserve">. </w:t>
      </w:r>
      <w:r w:rsidR="00437FFD">
        <w:t xml:space="preserve">2010,   119(3), </w:t>
      </w:r>
      <w:r>
        <w:t>601-12. https://doi.org/10.1007/s10549-009-0339-8</w:t>
      </w:r>
    </w:p>
    <w:p w14:paraId="09AEDC3A" w14:textId="77777777" w:rsidR="00487DE1" w:rsidRDefault="00487DE1" w:rsidP="008963F1">
      <w:pPr>
        <w:pStyle w:val="MDPI71References"/>
      </w:pPr>
      <w:r>
        <w:t>Zhang W, Glöckner SC, Guo M, Machida EO, Wang DH, Easwaran H, Van Neste L, Herman JG, Schuebel KE, Watkins DN et al</w:t>
      </w:r>
      <w:r w:rsidR="00437FFD">
        <w:t>.</w:t>
      </w:r>
      <w:r>
        <w:t xml:space="preserve"> Epigenetic inactivation of the canonical Wnt antagonist SRY-box containing gene 17 in colorectal cancer. </w:t>
      </w:r>
      <w:r w:rsidRPr="00437FFD">
        <w:rPr>
          <w:i/>
        </w:rPr>
        <w:t>Cancer Res</w:t>
      </w:r>
      <w:r w:rsidR="00437FFD">
        <w:rPr>
          <w:i/>
        </w:rPr>
        <w:t xml:space="preserve">. </w:t>
      </w:r>
      <w:r w:rsidR="00437FFD">
        <w:t xml:space="preserve">2008, 68(8), </w:t>
      </w:r>
      <w:r>
        <w:t>2764-72 https://doi.org/10.1158/0008-5472.CAN-07-6349</w:t>
      </w:r>
    </w:p>
    <w:p w14:paraId="14435B90" w14:textId="77777777" w:rsidR="00487DE1" w:rsidRDefault="00487DE1" w:rsidP="008963F1">
      <w:pPr>
        <w:pStyle w:val="MDPI71References"/>
      </w:pPr>
      <w:r>
        <w:t>Tan DS, Holzner M, Weng M, Srivastava Y, Jauch R</w:t>
      </w:r>
      <w:r w:rsidR="00437FFD">
        <w:t>.</w:t>
      </w:r>
      <w:r>
        <w:t xml:space="preserve"> SOX17 in cellular reprogramming and cancer. </w:t>
      </w:r>
      <w:r w:rsidRPr="00437FFD">
        <w:rPr>
          <w:i/>
        </w:rPr>
        <w:t>Semin Cancer Biol</w:t>
      </w:r>
      <w:r w:rsidR="00437FFD">
        <w:t xml:space="preserve">. 2019, </w:t>
      </w:r>
      <w:r>
        <w:t>S1044-579X(19)</w:t>
      </w:r>
      <w:r w:rsidR="00437FFD">
        <w:t xml:space="preserve">, </w:t>
      </w:r>
      <w:r>
        <w:t>30030-6 https://doi.org/10.1016/j.semcancer.2019.08.008</w:t>
      </w:r>
    </w:p>
    <w:p w14:paraId="771C6984" w14:textId="77777777" w:rsidR="00487DE1" w:rsidRDefault="00487DE1" w:rsidP="008963F1">
      <w:pPr>
        <w:pStyle w:val="MDPI71References"/>
      </w:pPr>
      <w:r>
        <w:t>Gurbuz I Chiquet-Ehrismann R</w:t>
      </w:r>
      <w:r w:rsidR="00437FFD">
        <w:t>.</w:t>
      </w:r>
      <w:r>
        <w:t xml:space="preserve"> CCN4/WISP1 (WNT1 inducible signaling pathway protein 1): a focus on its role in cancer. </w:t>
      </w:r>
      <w:r w:rsidRPr="00437FFD">
        <w:rPr>
          <w:i/>
        </w:rPr>
        <w:t>Int J Biochem Cell Biol</w:t>
      </w:r>
      <w:r w:rsidR="00437FFD">
        <w:t xml:space="preserve">. 2015, 62, </w:t>
      </w:r>
      <w:r>
        <w:t>142-6. https://doi.org/10.1016/j.biocel.2015.03.007</w:t>
      </w:r>
    </w:p>
    <w:p w14:paraId="1808F4BA" w14:textId="77777777" w:rsidR="00487DE1" w:rsidRDefault="00487DE1" w:rsidP="008963F1">
      <w:pPr>
        <w:pStyle w:val="MDPI71References"/>
      </w:pPr>
      <w:r>
        <w:t>Katoh M</w:t>
      </w:r>
      <w:r w:rsidR="00437FFD">
        <w:t>.</w:t>
      </w:r>
      <w:r>
        <w:t xml:space="preserve"> Multilayered prevention and treatment of chronic inflammation, organ fibrosis and cancer associated with canonical WNT/βcatenin signaling activation (Review). </w:t>
      </w:r>
      <w:r w:rsidRPr="00437FFD">
        <w:rPr>
          <w:i/>
        </w:rPr>
        <w:t>Int J Mol Med</w:t>
      </w:r>
      <w:r w:rsidR="00437FFD" w:rsidRPr="00437FFD">
        <w:rPr>
          <w:i/>
        </w:rPr>
        <w:t>.</w:t>
      </w:r>
      <w:r w:rsidR="00437FFD">
        <w:t xml:space="preserve"> 2018, 42(2),</w:t>
      </w:r>
      <w:r>
        <w:t xml:space="preserve"> 713-725. https://doi.org/10.3892/ijmm.2018.3689</w:t>
      </w:r>
    </w:p>
    <w:p w14:paraId="2AA13C25" w14:textId="77777777" w:rsidR="00487DE1" w:rsidRDefault="00487DE1" w:rsidP="008963F1">
      <w:pPr>
        <w:pStyle w:val="MDPI71References"/>
      </w:pPr>
      <w:r>
        <w:t>Hantel C, Shapiro I, Poli G, Chiapponi C, Bidlingmaier M, Reincke M,</w:t>
      </w:r>
      <w:r w:rsidR="00437FFD">
        <w:t xml:space="preserve"> Luconi M, Jung S, Beuschlein F. </w:t>
      </w:r>
      <w:r>
        <w:t xml:space="preserve">Targeting heterogeneity of adrenocortical carcinoma: Evaluation and extension of preclinical tumor models to improve clinical translation. </w:t>
      </w:r>
      <w:r w:rsidRPr="00437FFD">
        <w:rPr>
          <w:i/>
        </w:rPr>
        <w:t>Oncotarget</w:t>
      </w:r>
      <w:r w:rsidR="00437FFD">
        <w:t xml:space="preserve">. 2016, 7(48), </w:t>
      </w:r>
      <w:r>
        <w:t>79292-79304. https://doi.org/10.18632/oncotarget.12685</w:t>
      </w:r>
    </w:p>
    <w:p w14:paraId="068D103E" w14:textId="77777777" w:rsidR="00487DE1" w:rsidRDefault="00487DE1" w:rsidP="008963F1">
      <w:pPr>
        <w:pStyle w:val="MDPI71References"/>
      </w:pPr>
      <w:r>
        <w:t>Rainey WE,  Saner K,  Schimmer BP</w:t>
      </w:r>
      <w:r w:rsidR="00437FFD">
        <w:t>.</w:t>
      </w:r>
      <w:r>
        <w:t xml:space="preserve"> Adrenocortical cell lines. </w:t>
      </w:r>
      <w:r w:rsidRPr="00437FFD">
        <w:rPr>
          <w:i/>
        </w:rPr>
        <w:t>Mol Cell Endocrinol.</w:t>
      </w:r>
      <w:r w:rsidR="00437FFD" w:rsidRPr="00437FFD">
        <w:t xml:space="preserve"> </w:t>
      </w:r>
      <w:r w:rsidR="00437FFD">
        <w:t xml:space="preserve">2004, </w:t>
      </w:r>
      <w:r>
        <w:t xml:space="preserve"> 228(1-2)</w:t>
      </w:r>
      <w:r w:rsidR="00437FFD">
        <w:t xml:space="preserve">, </w:t>
      </w:r>
      <w:r>
        <w:t>23-38.</w:t>
      </w:r>
    </w:p>
    <w:p w14:paraId="6CB4C1DC" w14:textId="77777777" w:rsidR="00487DE1" w:rsidRDefault="00487DE1" w:rsidP="008963F1">
      <w:pPr>
        <w:pStyle w:val="MDPI71References"/>
      </w:pPr>
      <w:r>
        <w:t>Parmar J, Key RE, Rainey WE</w:t>
      </w:r>
      <w:r w:rsidR="00437FFD">
        <w:t>.</w:t>
      </w:r>
      <w:r>
        <w:t xml:space="preserve"> Development of an adrenocorticotropin-responsive human adrenocortical carcinoma cell line. </w:t>
      </w:r>
      <w:r w:rsidRPr="00437FFD">
        <w:rPr>
          <w:i/>
        </w:rPr>
        <w:t>J Clin Endocrinol Metab.</w:t>
      </w:r>
      <w:r w:rsidR="00437FFD" w:rsidRPr="00437FFD">
        <w:t xml:space="preserve"> </w:t>
      </w:r>
      <w:r w:rsidR="00437FFD">
        <w:t>2008,</w:t>
      </w:r>
      <w:r>
        <w:t xml:space="preserve"> 93(11)</w:t>
      </w:r>
      <w:r w:rsidR="00437FFD">
        <w:t xml:space="preserve">, </w:t>
      </w:r>
      <w:r>
        <w:t>4542-6. https://doi.org/10.1210/jc.2008-0903.</w:t>
      </w:r>
    </w:p>
    <w:p w14:paraId="6D7DFC9F" w14:textId="77777777" w:rsidR="00487DE1" w:rsidRDefault="006B3522" w:rsidP="008963F1">
      <w:pPr>
        <w:pStyle w:val="MDPI71References"/>
      </w:pPr>
      <w:r>
        <w:t xml:space="preserve">Wang T, Rainey WE. </w:t>
      </w:r>
      <w:r w:rsidR="00487DE1">
        <w:t xml:space="preserve">Human adrenocortical carcinoma cell lines. </w:t>
      </w:r>
      <w:r w:rsidR="00487DE1" w:rsidRPr="006B3522">
        <w:rPr>
          <w:i/>
        </w:rPr>
        <w:t xml:space="preserve">Mol Cell Endocrinol </w:t>
      </w:r>
      <w:r>
        <w:t xml:space="preserve">2012, 351(1), </w:t>
      </w:r>
      <w:r w:rsidR="00487DE1">
        <w:t>58-65. https://doi.org/10.1016/j.mce.2011.08.041</w:t>
      </w:r>
    </w:p>
    <w:p w14:paraId="15514897" w14:textId="77777777" w:rsidR="00487DE1" w:rsidRDefault="00487DE1" w:rsidP="008963F1">
      <w:pPr>
        <w:pStyle w:val="MDPI71References"/>
      </w:pPr>
      <w:r w:rsidRPr="00A06154">
        <w:rPr>
          <w:lang w:val="it-IT"/>
        </w:rPr>
        <w:t>Fragni M, Palma Lopez LP, Rossini E, Abate A, Cosentini D, Salvi V, Vezzoli S, Poliani PL, Bosisio D, Hantel C et al</w:t>
      </w:r>
      <w:r w:rsidR="006B3522" w:rsidRPr="00A06154">
        <w:rPr>
          <w:lang w:val="it-IT"/>
        </w:rPr>
        <w:t>.</w:t>
      </w:r>
      <w:r w:rsidRPr="00A06154">
        <w:rPr>
          <w:lang w:val="it-IT"/>
        </w:rPr>
        <w:t xml:space="preserve"> </w:t>
      </w:r>
      <w:r>
        <w:t xml:space="preserve">In vitro cytotoxicity of cabazitaxel in adrenocortical carcinoma cell lines and human adrenocortical </w:t>
      </w:r>
      <w:r>
        <w:lastRenderedPageBreak/>
        <w:t xml:space="preserve">carcinoma primary cell cultures. </w:t>
      </w:r>
      <w:r w:rsidRPr="006B3522">
        <w:rPr>
          <w:i/>
        </w:rPr>
        <w:t>Mol Cell Endocrinol</w:t>
      </w:r>
      <w:r w:rsidR="006B3522">
        <w:rPr>
          <w:i/>
        </w:rPr>
        <w:t>.</w:t>
      </w:r>
      <w:r>
        <w:t xml:space="preserve"> </w:t>
      </w:r>
      <w:r w:rsidR="006B3522">
        <w:t xml:space="preserve">2019, 498, </w:t>
      </w:r>
      <w:r>
        <w:t>110585. https://doi.org/10.1016/j.mce.2019.110585</w:t>
      </w:r>
    </w:p>
    <w:p w14:paraId="6A5A80D3" w14:textId="77777777" w:rsidR="00487DE1" w:rsidRDefault="00487DE1" w:rsidP="008963F1">
      <w:pPr>
        <w:pStyle w:val="MDPI71References"/>
      </w:pPr>
      <w:r>
        <w:t>Sbiera S, Schmull S, Assie G, Voelker HU, Kraus L, Beyer M, Ragazzon B, Beuschlein F, Willenberg HS, Hahner S, Saeger W, Bertherat J, Allolio B, Fassnacht M</w:t>
      </w:r>
      <w:r w:rsidR="006B3522">
        <w:t>.</w:t>
      </w:r>
      <w:r>
        <w:t xml:space="preserve"> High diagnostic and prognostic value of steroidogenic factor-1 expression in adrenal tumors. </w:t>
      </w:r>
      <w:r w:rsidRPr="006B3522">
        <w:rPr>
          <w:i/>
        </w:rPr>
        <w:t>J Clin Endocrinol Metab</w:t>
      </w:r>
      <w:r w:rsidR="006B3522">
        <w:t>.</w:t>
      </w:r>
      <w:r>
        <w:t xml:space="preserve"> </w:t>
      </w:r>
      <w:r w:rsidR="006B3522">
        <w:t xml:space="preserve">2010, 95, </w:t>
      </w:r>
      <w:r>
        <w:t xml:space="preserve">E161-171. https://doi.org/10.1210/jc.2010-0653. </w:t>
      </w:r>
    </w:p>
    <w:p w14:paraId="2D0D12CB" w14:textId="77777777" w:rsidR="00487DE1" w:rsidRDefault="00487DE1" w:rsidP="008963F1">
      <w:pPr>
        <w:pStyle w:val="MDPI71References"/>
      </w:pPr>
      <w:r>
        <w:t>Chou TC, Talalay  P</w:t>
      </w:r>
      <w:r w:rsidR="006B3522">
        <w:t>.</w:t>
      </w:r>
      <w:r>
        <w:t xml:space="preserve"> Quantitative analysis of dose-effect relationships: the combined effects of multiple drugs or enzyme inhibitors. </w:t>
      </w:r>
      <w:r w:rsidRPr="006B3522">
        <w:rPr>
          <w:i/>
        </w:rPr>
        <w:t>Adv Enzyme Regul</w:t>
      </w:r>
      <w:r>
        <w:t>.</w:t>
      </w:r>
      <w:r w:rsidR="006B3522" w:rsidRPr="006B3522">
        <w:t xml:space="preserve"> </w:t>
      </w:r>
      <w:r w:rsidR="006B3522">
        <w:t>1984,</w:t>
      </w:r>
      <w:r>
        <w:t xml:space="preserve"> 22</w:t>
      </w:r>
      <w:r w:rsidR="006B3522">
        <w:t>,</w:t>
      </w:r>
      <w:r>
        <w:t xml:space="preserve"> 27–55.</w:t>
      </w:r>
    </w:p>
    <w:p w14:paraId="6996BE0D" w14:textId="77777777" w:rsidR="00487DE1" w:rsidRDefault="00487DE1" w:rsidP="008963F1">
      <w:pPr>
        <w:pStyle w:val="MDPI71References"/>
      </w:pPr>
      <w:r>
        <w:t>Chou TC</w:t>
      </w:r>
      <w:r w:rsidR="006B3522">
        <w:t>.</w:t>
      </w:r>
      <w:r>
        <w:t xml:space="preserve">) Theoretical basis, experimental design, and computerized simulation of synergism and antagonism in drug combination studies. </w:t>
      </w:r>
      <w:r w:rsidRPr="006B3522">
        <w:rPr>
          <w:i/>
        </w:rPr>
        <w:t>Pharmacol Rev</w:t>
      </w:r>
      <w:r>
        <w:t>.</w:t>
      </w:r>
      <w:r w:rsidR="006B3522" w:rsidRPr="006B3522">
        <w:t xml:space="preserve"> </w:t>
      </w:r>
      <w:r w:rsidR="006B3522">
        <w:t xml:space="preserve">2006, </w:t>
      </w:r>
      <w:r>
        <w:t>58(3)</w:t>
      </w:r>
      <w:r w:rsidR="006B3522">
        <w:t xml:space="preserve">, </w:t>
      </w:r>
      <w:r>
        <w:t>621-681.</w:t>
      </w:r>
    </w:p>
    <w:p w14:paraId="5705DD6D" w14:textId="77777777" w:rsidR="00487DE1" w:rsidRDefault="00487DE1" w:rsidP="008963F1">
      <w:pPr>
        <w:pStyle w:val="MDPI71References"/>
      </w:pPr>
      <w:r w:rsidRPr="00A06154">
        <w:rPr>
          <w:lang w:val="it-IT"/>
        </w:rPr>
        <w:t>Sigala S, Bodei S, Missale C, Zani D, Simeone C, Cunico SC, Spano PF</w:t>
      </w:r>
      <w:r w:rsidR="006B3522" w:rsidRPr="00A06154">
        <w:rPr>
          <w:lang w:val="it-IT"/>
        </w:rPr>
        <w:t>.</w:t>
      </w:r>
      <w:r w:rsidRPr="00A06154">
        <w:rPr>
          <w:lang w:val="it-IT"/>
        </w:rPr>
        <w:t xml:space="preserve"> </w:t>
      </w:r>
      <w:r>
        <w:t xml:space="preserve">Gene expression profile of prostate cancer cell lines: effect of nerve growth factor treatment. </w:t>
      </w:r>
      <w:r w:rsidRPr="006B3522">
        <w:rPr>
          <w:i/>
        </w:rPr>
        <w:t>Mol Cell Endocrinoy</w:t>
      </w:r>
      <w:r w:rsidR="006B3522">
        <w:t>. 2008</w:t>
      </w:r>
      <w:r w:rsidR="00320316">
        <w:t>,</w:t>
      </w:r>
      <w:r w:rsidR="006B3522">
        <w:t xml:space="preserve"> </w:t>
      </w:r>
      <w:r w:rsidR="00320316">
        <w:t xml:space="preserve"> 284(1-2), </w:t>
      </w:r>
      <w:r>
        <w:t>11-20.  https://doi.org/10.1016/j.mce.2007.12.015</w:t>
      </w:r>
    </w:p>
    <w:p w14:paraId="170C7D3C" w14:textId="77777777" w:rsidR="00487DE1" w:rsidRDefault="00487DE1" w:rsidP="008963F1">
      <w:pPr>
        <w:pStyle w:val="MDPI71References"/>
      </w:pPr>
      <w:r>
        <w:t>Livak KJ, Schmittgen TD</w:t>
      </w:r>
      <w:r w:rsidR="00752A49">
        <w:t>.</w:t>
      </w:r>
      <w:r>
        <w:t xml:space="preserve"> Analysis of relative gene expression data using real-time quantitative PCR and the 2(-Delta Delta C(T)) Method. </w:t>
      </w:r>
      <w:r w:rsidRPr="00752A49">
        <w:rPr>
          <w:i/>
        </w:rPr>
        <w:t>Methods</w:t>
      </w:r>
      <w:r w:rsidR="00752A49">
        <w:t xml:space="preserve">. 2001, 25(4), </w:t>
      </w:r>
      <w:r>
        <w:t>402-408.</w:t>
      </w:r>
    </w:p>
    <w:p w14:paraId="552D2A15" w14:textId="77777777" w:rsidR="00487DE1" w:rsidRDefault="00487DE1" w:rsidP="008963F1">
      <w:pPr>
        <w:pStyle w:val="MDPI71References"/>
      </w:pPr>
      <w:r w:rsidRPr="00752A49">
        <w:rPr>
          <w:lang w:val="it-IT"/>
        </w:rPr>
        <w:t>Porrini V, Sarnico I, Benarese M, Branca C, Mota M, Lanzillotta A, Bellucci A, P</w:t>
      </w:r>
      <w:r w:rsidR="00752A49" w:rsidRPr="00752A49">
        <w:rPr>
          <w:lang w:val="it-IT"/>
        </w:rPr>
        <w:t xml:space="preserve">arrella E, Faggi L, Spano et al. </w:t>
      </w:r>
      <w:r>
        <w:t xml:space="preserve">Neuroprotective and Anti-Apoptotic Effects of CSP-1103 in Primary Cortical Neurons Exposed to Oxygen and Glucose Deprivation. </w:t>
      </w:r>
      <w:r w:rsidRPr="00752A49">
        <w:rPr>
          <w:i/>
        </w:rPr>
        <w:t>Int J Mol Sci</w:t>
      </w:r>
      <w:r w:rsidR="00752A49">
        <w:t>.</w:t>
      </w:r>
      <w:r>
        <w:t xml:space="preserve"> </w:t>
      </w:r>
      <w:r w:rsidR="00752A49">
        <w:t xml:space="preserve">2017, </w:t>
      </w:r>
      <w:r>
        <w:t>18 E184. https://doi.org/10.3390/ijms18010184.</w:t>
      </w:r>
    </w:p>
    <w:p w14:paraId="40B445D0" w14:textId="77777777" w:rsidR="00A06154" w:rsidRDefault="00487DE1" w:rsidP="00A06154">
      <w:pPr>
        <w:pStyle w:val="MDPI71References"/>
      </w:pPr>
      <w:r>
        <w:t>Mohan DR, Lerario AM,  Hammer GD</w:t>
      </w:r>
      <w:r w:rsidR="00752A49">
        <w:t>.</w:t>
      </w:r>
      <w:r>
        <w:t xml:space="preserve"> Therapeutic Targets for Adrenocortical Carcinoma in the Genomics Era. </w:t>
      </w:r>
      <w:r w:rsidRPr="00752A49">
        <w:rPr>
          <w:i/>
        </w:rPr>
        <w:t>JEndocr Soc</w:t>
      </w:r>
      <w:r w:rsidR="00752A49">
        <w:t xml:space="preserve">. 2018, 2(11), 1259-1274. </w:t>
      </w:r>
      <w:r w:rsidR="00A06154" w:rsidRPr="00A06154">
        <w:t>https://doi.org/10.1210/js.2018-00197</w:t>
      </w:r>
    </w:p>
    <w:p w14:paraId="5EE722C3" w14:textId="77777777" w:rsidR="00A06154" w:rsidRDefault="00A06154" w:rsidP="00A06154">
      <w:pPr>
        <w:pStyle w:val="MDPI71References"/>
      </w:pPr>
      <w:r w:rsidRPr="00A06154">
        <w:rPr>
          <w:lang w:val="it-IT"/>
        </w:rPr>
        <w:t xml:space="preserve">Fragni, M., Fiorentini, C., Rossini, E., Fisogni, S., Vezzoli, S., Bonini, S.A., Dalmiglio, C., Grisanti, S., Tiberio, G.A.M., Claps, M., Cosentini, D., Salvi, V., Bosisio, D., Terzolo, M., Missale, C., Facchetti, F., Memo, M., Berruti, A., Sigala, S. In vitro antitumor activity of progesterone in human adrenocortical carcinoma. </w:t>
      </w:r>
      <w:r w:rsidRPr="00A06154">
        <w:rPr>
          <w:i/>
        </w:rPr>
        <w:t>Endocrine</w:t>
      </w:r>
      <w:r>
        <w:t xml:space="preserve">. </w:t>
      </w:r>
      <w:r w:rsidRPr="00A06154">
        <w:rPr>
          <w:lang w:val="it-IT"/>
        </w:rPr>
        <w:t>2019</w:t>
      </w:r>
      <w:r w:rsidRPr="00A06154">
        <w:t xml:space="preserve"> 63, 592–601. https://doi.org/10.1007/s12020-018-1795-x.</w:t>
      </w:r>
    </w:p>
    <w:p w14:paraId="642D89C0" w14:textId="77777777" w:rsidR="008963F1" w:rsidRDefault="008963F1" w:rsidP="008963F1">
      <w:pPr>
        <w:pStyle w:val="MDPI71References"/>
        <w:numPr>
          <w:ilvl w:val="0"/>
          <w:numId w:val="0"/>
        </w:numPr>
        <w:ind w:left="425"/>
      </w:pPr>
    </w:p>
    <w:tbl>
      <w:tblPr>
        <w:tblW w:w="0" w:type="auto"/>
        <w:jc w:val="center"/>
        <w:tblLook w:val="04A0" w:firstRow="1" w:lastRow="0" w:firstColumn="1" w:lastColumn="0" w:noHBand="0" w:noVBand="1"/>
      </w:tblPr>
      <w:tblGrid>
        <w:gridCol w:w="1721"/>
        <w:gridCol w:w="7123"/>
      </w:tblGrid>
      <w:tr w:rsidR="00F71A8C" w:rsidRPr="0044756D" w14:paraId="030BD9AD" w14:textId="77777777" w:rsidTr="006D37E0">
        <w:trPr>
          <w:jc w:val="center"/>
        </w:trPr>
        <w:tc>
          <w:tcPr>
            <w:tcW w:w="0" w:type="auto"/>
            <w:shd w:val="clear" w:color="auto" w:fill="auto"/>
            <w:vAlign w:val="center"/>
          </w:tcPr>
          <w:p w14:paraId="420A6EB4" w14:textId="77777777" w:rsidR="00F71A8C" w:rsidRPr="0044756D" w:rsidRDefault="001D6629" w:rsidP="00CB5C68">
            <w:pPr>
              <w:pStyle w:val="MDPI71References"/>
              <w:numPr>
                <w:ilvl w:val="0"/>
                <w:numId w:val="0"/>
              </w:numPr>
              <w:ind w:left="-85"/>
              <w:rPr>
                <w:rFonts w:eastAsia="SimSun"/>
                <w:bCs/>
              </w:rPr>
            </w:pPr>
            <w:r w:rsidRPr="0044756D">
              <w:rPr>
                <w:rFonts w:eastAsia="SimSun"/>
                <w:bCs/>
                <w:noProof/>
                <w:lang w:val="it-IT" w:eastAsia="it-IT" w:bidi="ar-SA"/>
              </w:rPr>
              <w:drawing>
                <wp:inline distT="0" distB="0" distL="0" distR="0" wp14:anchorId="69B97F3F" wp14:editId="0C5379DE">
                  <wp:extent cx="1000125" cy="361950"/>
                  <wp:effectExtent l="0" t="0" r="9525" b="0"/>
                  <wp:docPr id="3" name="Immagine 3" descr="copy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Righ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0125" cy="361950"/>
                          </a:xfrm>
                          <a:prstGeom prst="rect">
                            <a:avLst/>
                          </a:prstGeom>
                          <a:noFill/>
                          <a:ln>
                            <a:noFill/>
                          </a:ln>
                        </pic:spPr>
                      </pic:pic>
                    </a:graphicData>
                  </a:graphic>
                </wp:inline>
              </w:drawing>
            </w:r>
          </w:p>
        </w:tc>
        <w:tc>
          <w:tcPr>
            <w:tcW w:w="7149" w:type="dxa"/>
            <w:shd w:val="clear" w:color="auto" w:fill="auto"/>
            <w:vAlign w:val="center"/>
          </w:tcPr>
          <w:p w14:paraId="2545D512" w14:textId="77777777" w:rsidR="00F71A8C" w:rsidRPr="0044756D" w:rsidRDefault="004D3593" w:rsidP="007C17C4">
            <w:pPr>
              <w:pStyle w:val="MDPI71References"/>
              <w:numPr>
                <w:ilvl w:val="0"/>
                <w:numId w:val="0"/>
              </w:numPr>
              <w:ind w:left="-85"/>
              <w:rPr>
                <w:rFonts w:eastAsia="SimSun"/>
                <w:bCs/>
              </w:rPr>
            </w:pPr>
            <w:r>
              <w:rPr>
                <w:rFonts w:eastAsia="SimSun"/>
                <w:bCs/>
              </w:rPr>
              <w:t>© 20</w:t>
            </w:r>
            <w:r w:rsidR="007C17C4">
              <w:rPr>
                <w:rFonts w:eastAsia="SimSun"/>
                <w:bCs/>
              </w:rPr>
              <w:t>20</w:t>
            </w:r>
            <w:r w:rsidR="00F71A8C" w:rsidRPr="0044756D">
              <w:rPr>
                <w:rFonts w:eastAsia="SimSun"/>
                <w:bCs/>
              </w:rPr>
              <w:t xml:space="preserve"> by the authors. Submitted for possible open access publication under the terms and conditions of the Creative Commons Attribution (CC BY) license (http://creativecommons.org/licenses/by/4.0/).</w:t>
            </w:r>
          </w:p>
        </w:tc>
      </w:tr>
    </w:tbl>
    <w:p w14:paraId="78AA75EB" w14:textId="77777777" w:rsidR="003A55A8" w:rsidRPr="00A64903" w:rsidRDefault="003A55A8" w:rsidP="00F71A8C">
      <w:pPr>
        <w:pStyle w:val="MDPI71References"/>
        <w:numPr>
          <w:ilvl w:val="0"/>
          <w:numId w:val="0"/>
        </w:numPr>
        <w:spacing w:after="240"/>
        <w:rPr>
          <w:rFonts w:eastAsia="SimSun"/>
        </w:rPr>
      </w:pPr>
    </w:p>
    <w:sectPr w:rsidR="003A55A8" w:rsidRPr="00A64903" w:rsidSect="003A55A8">
      <w:headerReference w:type="even" r:id="rId15"/>
      <w:headerReference w:type="default" r:id="rId16"/>
      <w:footerReference w:type="default" r:id="rId17"/>
      <w:headerReference w:type="first" r:id="rId18"/>
      <w:footerReference w:type="first" r:id="rId19"/>
      <w:pgSz w:w="11906" w:h="16838" w:code="9"/>
      <w:pgMar w:top="1417" w:right="1531" w:bottom="1077" w:left="1531" w:header="1020" w:footer="850" w:gutter="0"/>
      <w:lnNumType w:countBy="1" w:restart="continuous"/>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FB427" w14:textId="77777777" w:rsidR="00B365B5" w:rsidRDefault="00B365B5">
      <w:pPr>
        <w:spacing w:line="240" w:lineRule="auto"/>
      </w:pPr>
      <w:r>
        <w:separator/>
      </w:r>
    </w:p>
  </w:endnote>
  <w:endnote w:type="continuationSeparator" w:id="0">
    <w:p w14:paraId="07728E6F" w14:textId="77777777" w:rsidR="00B365B5" w:rsidRDefault="00B365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Segoe UI">
    <w:altName w:val="Sylfaen"/>
    <w:panose1 w:val="020B0604020202020204"/>
    <w:charset w:val="00"/>
    <w:family w:val="swiss"/>
    <w:pitch w:val="variable"/>
    <w:sig w:usb0="E4002EFF" w:usb1="C000E47F" w:usb2="00000009" w:usb3="00000000" w:csb0="000001FF" w:csb1="00000000"/>
  </w:font>
  <w:font w:name="spanish">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FDA13" w14:textId="77777777" w:rsidR="0027775E" w:rsidRPr="00164C5C" w:rsidRDefault="0027775E" w:rsidP="00AF7CE2">
    <w:pPr>
      <w:pStyle w:val="Pidipa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798BCE" w14:textId="77777777" w:rsidR="0027775E" w:rsidRPr="008B308E" w:rsidRDefault="0027775E" w:rsidP="007C17C4">
    <w:pPr>
      <w:pStyle w:val="MDPIfooterfirstpage"/>
      <w:spacing w:line="240" w:lineRule="auto"/>
      <w:jc w:val="both"/>
      <w:rPr>
        <w:lang w:val="fr-CH"/>
      </w:rPr>
    </w:pPr>
    <w:r>
      <w:rPr>
        <w:i/>
      </w:rPr>
      <w:t xml:space="preserve">Cancers </w:t>
    </w:r>
    <w:r w:rsidRPr="00F71A8C">
      <w:rPr>
        <w:b/>
      </w:rPr>
      <w:t>20</w:t>
    </w:r>
    <w:r>
      <w:rPr>
        <w:b/>
      </w:rPr>
      <w:t>20</w:t>
    </w:r>
    <w:r w:rsidRPr="00F71A8C">
      <w:t xml:space="preserve">, </w:t>
    </w:r>
    <w:r w:rsidRPr="00F71A8C">
      <w:rPr>
        <w:i/>
      </w:rPr>
      <w:t>1</w:t>
    </w:r>
    <w:r>
      <w:rPr>
        <w:i/>
      </w:rPr>
      <w:t>2</w:t>
    </w:r>
    <w:r w:rsidRPr="00F71A8C">
      <w:t xml:space="preserve">, </w:t>
    </w:r>
    <w:r>
      <w:t>x; doi: FOR PEER REVIEW</w:t>
    </w:r>
    <w:r w:rsidRPr="008B308E">
      <w:rPr>
        <w:lang w:val="fr-CH"/>
      </w:rPr>
      <w:tab/>
      <w:t>www.mdpi.com/journal/</w:t>
    </w:r>
    <w:r w:rsidRPr="00511F0B">
      <w:t>cancers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28852B" w14:textId="77777777" w:rsidR="00B365B5" w:rsidRDefault="00B365B5">
      <w:pPr>
        <w:spacing w:line="240" w:lineRule="auto"/>
      </w:pPr>
      <w:r>
        <w:separator/>
      </w:r>
    </w:p>
  </w:footnote>
  <w:footnote w:type="continuationSeparator" w:id="0">
    <w:p w14:paraId="1D675908" w14:textId="77777777" w:rsidR="00B365B5" w:rsidRDefault="00B365B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8A02D9" w14:textId="77777777" w:rsidR="0027775E" w:rsidRDefault="0027775E" w:rsidP="00AF7CE2">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3B59B" w14:textId="77777777" w:rsidR="0027775E" w:rsidRPr="00836BB8" w:rsidRDefault="0027775E" w:rsidP="007C17C4">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Cancers </w:t>
    </w:r>
    <w:r w:rsidRPr="00F71A8C">
      <w:rPr>
        <w:rFonts w:ascii="Palatino Linotype" w:hAnsi="Palatino Linotype"/>
        <w:b/>
        <w:sz w:val="16"/>
      </w:rPr>
      <w:t>20</w:t>
    </w:r>
    <w:r>
      <w:rPr>
        <w:rFonts w:ascii="Palatino Linotype" w:hAnsi="Palatino Linotype"/>
        <w:b/>
        <w:sz w:val="16"/>
      </w:rPr>
      <w:t>20</w:t>
    </w:r>
    <w:r w:rsidRPr="00F71A8C">
      <w:rPr>
        <w:rFonts w:ascii="Palatino Linotype" w:hAnsi="Palatino Linotype"/>
        <w:sz w:val="16"/>
      </w:rPr>
      <w:t xml:space="preserve">, </w:t>
    </w:r>
    <w:r w:rsidRPr="00F71A8C">
      <w:rPr>
        <w:rFonts w:ascii="Palatino Linotype" w:hAnsi="Palatino Linotype"/>
        <w:i/>
        <w:sz w:val="16"/>
      </w:rPr>
      <w:t>1</w:t>
    </w:r>
    <w:r>
      <w:rPr>
        <w:rFonts w:ascii="Palatino Linotype" w:hAnsi="Palatino Linotype"/>
        <w:i/>
        <w:sz w:val="16"/>
      </w:rPr>
      <w:t>2</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10</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17</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62C37B" w14:textId="77777777" w:rsidR="0027775E" w:rsidRDefault="0027775E" w:rsidP="00AF7CE2">
    <w:pPr>
      <w:pStyle w:val="MDPIheaderjournallogo"/>
    </w:pPr>
    <w:r w:rsidRPr="00A04686">
      <w:rPr>
        <w:noProof/>
        <w:lang w:val="it-IT" w:eastAsia="it-IT"/>
      </w:rPr>
      <w:drawing>
        <wp:inline distT="0" distB="0" distL="0" distR="0" wp14:anchorId="2F7EF916" wp14:editId="352694D7">
          <wp:extent cx="1685925" cy="428625"/>
          <wp:effectExtent l="0" t="0" r="0" b="9525"/>
          <wp:docPr id="4" name="Picture 3" descr="C:\Users\home\Desktop\logos\cancer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cancer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428625"/>
                  </a:xfrm>
                  <a:prstGeom prst="rect">
                    <a:avLst/>
                  </a:prstGeom>
                  <a:noFill/>
                  <a:ln>
                    <a:noFill/>
                  </a:ln>
                </pic:spPr>
              </pic:pic>
            </a:graphicData>
          </a:graphic>
        </wp:inline>
      </w:drawing>
    </w:r>
    <w:r w:rsidRPr="002751C4">
      <w:rPr>
        <w:i w:val="0"/>
        <w:noProof/>
        <w:szCs w:val="16"/>
        <w:lang w:val="it-IT" w:eastAsia="it-IT"/>
      </w:rPr>
      <mc:AlternateContent>
        <mc:Choice Requires="wps">
          <w:drawing>
            <wp:anchor distT="45720" distB="45720" distL="114300" distR="114300" simplePos="0" relativeHeight="251657728" behindDoc="1" locked="0" layoutInCell="1" allowOverlap="1" wp14:anchorId="2428B966" wp14:editId="495D47DC">
              <wp:simplePos x="0" y="0"/>
              <wp:positionH relativeFrom="page">
                <wp:posOffset>6029960</wp:posOffset>
              </wp:positionH>
              <wp:positionV relativeFrom="page">
                <wp:posOffset>647700</wp:posOffset>
              </wp:positionV>
              <wp:extent cx="540385" cy="709295"/>
              <wp:effectExtent l="0" t="0" r="317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1A9A998B" w14:textId="77777777" w:rsidR="0027775E" w:rsidRDefault="0027775E" w:rsidP="00AF7CE2">
                          <w:pPr>
                            <w:pStyle w:val="MDPIheaderjournallogo"/>
                            <w:jc w:val="center"/>
                            <w:textboxTightWrap w:val="allLines"/>
                            <w:rPr>
                              <w:i w:val="0"/>
                              <w:szCs w:val="16"/>
                            </w:rPr>
                          </w:pPr>
                          <w:r w:rsidRPr="003A55A8">
                            <w:rPr>
                              <w:i w:val="0"/>
                              <w:noProof/>
                              <w:szCs w:val="16"/>
                              <w:lang w:val="it-IT" w:eastAsia="it-IT"/>
                            </w:rPr>
                            <w:drawing>
                              <wp:inline distT="0" distB="0" distL="0" distR="0" wp14:anchorId="70922AB0" wp14:editId="327C9208">
                                <wp:extent cx="542925" cy="352425"/>
                                <wp:effectExtent l="0" t="0" r="9525" b="9525"/>
                                <wp:docPr id="5"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28B966" id="_x0000_t202" coordsize="21600,21600" o:spt="202" path="m,l,21600r21600,l21600,xe">
              <v:stroke joinstyle="miter"/>
              <v:path gradientshapeok="t" o:connecttype="rect"/>
            </v:shapetype>
            <v:shape id="Text Box 2" o:spid="_x0000_s1026" type="#_x0000_t202" style="position:absolute;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" stroked="f">
              <v:textbox inset="0,0,0,0">
                <w:txbxContent>
                  <w:p w14:paraId="1A9A998B" w14:textId="77777777" w:rsidR="0027775E" w:rsidRDefault="0027775E" w:rsidP="00AF7CE2">
                    <w:pPr>
                      <w:pStyle w:val="MDPIheaderjournallogo"/>
                      <w:jc w:val="center"/>
                      <w:textboxTightWrap w:val="allLines"/>
                      <w:rPr>
                        <w:i w:val="0"/>
                        <w:szCs w:val="16"/>
                      </w:rPr>
                    </w:pPr>
                    <w:r w:rsidRPr="003A55A8">
                      <w:rPr>
                        <w:i w:val="0"/>
                        <w:noProof/>
                        <w:szCs w:val="16"/>
                        <w:lang w:val="it-IT" w:eastAsia="it-IT"/>
                      </w:rPr>
                      <w:drawing>
                        <wp:inline distT="0" distB="0" distL="0" distR="0" wp14:anchorId="70922AB0" wp14:editId="327C9208">
                          <wp:extent cx="542925" cy="352425"/>
                          <wp:effectExtent l="0" t="0" r="9525" b="9525"/>
                          <wp:docPr id="5"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attachedTemplate r:id="rId1"/>
  <w:defaultTabStop w:val="420"/>
  <w:hyphenationZone w:val="283"/>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4C5B"/>
    <w:rsid w:val="0001208D"/>
    <w:rsid w:val="00012E83"/>
    <w:rsid w:val="00057DFA"/>
    <w:rsid w:val="000618E3"/>
    <w:rsid w:val="000A6F47"/>
    <w:rsid w:val="000B038C"/>
    <w:rsid w:val="000D4AE8"/>
    <w:rsid w:val="000D4FDC"/>
    <w:rsid w:val="000F0E63"/>
    <w:rsid w:val="00126C03"/>
    <w:rsid w:val="00142C8D"/>
    <w:rsid w:val="00146EF2"/>
    <w:rsid w:val="001556A1"/>
    <w:rsid w:val="00186691"/>
    <w:rsid w:val="001B645A"/>
    <w:rsid w:val="001D6629"/>
    <w:rsid w:val="001E2AEB"/>
    <w:rsid w:val="002026A3"/>
    <w:rsid w:val="002071A5"/>
    <w:rsid w:val="00272F25"/>
    <w:rsid w:val="0027360E"/>
    <w:rsid w:val="0027775E"/>
    <w:rsid w:val="00277FB1"/>
    <w:rsid w:val="00281847"/>
    <w:rsid w:val="002A0D6E"/>
    <w:rsid w:val="002B5823"/>
    <w:rsid w:val="002C5FDA"/>
    <w:rsid w:val="00316E1B"/>
    <w:rsid w:val="00320316"/>
    <w:rsid w:val="00326141"/>
    <w:rsid w:val="003271CA"/>
    <w:rsid w:val="003561BA"/>
    <w:rsid w:val="00394C5B"/>
    <w:rsid w:val="00394E80"/>
    <w:rsid w:val="003A55A8"/>
    <w:rsid w:val="003A7485"/>
    <w:rsid w:val="003B0587"/>
    <w:rsid w:val="003F29A2"/>
    <w:rsid w:val="003F4499"/>
    <w:rsid w:val="00401D30"/>
    <w:rsid w:val="00437FFD"/>
    <w:rsid w:val="0044756D"/>
    <w:rsid w:val="004807A8"/>
    <w:rsid w:val="00487DE1"/>
    <w:rsid w:val="00492C86"/>
    <w:rsid w:val="004A35E1"/>
    <w:rsid w:val="004C7C09"/>
    <w:rsid w:val="004D3593"/>
    <w:rsid w:val="004E0105"/>
    <w:rsid w:val="00513C95"/>
    <w:rsid w:val="00534C4A"/>
    <w:rsid w:val="00537949"/>
    <w:rsid w:val="005425B6"/>
    <w:rsid w:val="00551472"/>
    <w:rsid w:val="0059482A"/>
    <w:rsid w:val="00596A63"/>
    <w:rsid w:val="005A0BED"/>
    <w:rsid w:val="005A237F"/>
    <w:rsid w:val="00600C18"/>
    <w:rsid w:val="00611407"/>
    <w:rsid w:val="00623930"/>
    <w:rsid w:val="0062578B"/>
    <w:rsid w:val="00627D4F"/>
    <w:rsid w:val="0063570B"/>
    <w:rsid w:val="00635A46"/>
    <w:rsid w:val="00641156"/>
    <w:rsid w:val="00676FEB"/>
    <w:rsid w:val="006837C3"/>
    <w:rsid w:val="00692393"/>
    <w:rsid w:val="0069273C"/>
    <w:rsid w:val="006B3522"/>
    <w:rsid w:val="006D37E0"/>
    <w:rsid w:val="006D751E"/>
    <w:rsid w:val="006F7149"/>
    <w:rsid w:val="00703852"/>
    <w:rsid w:val="007346D0"/>
    <w:rsid w:val="00752A49"/>
    <w:rsid w:val="007C17C4"/>
    <w:rsid w:val="007C2477"/>
    <w:rsid w:val="007E1ACA"/>
    <w:rsid w:val="00817FC9"/>
    <w:rsid w:val="00851E19"/>
    <w:rsid w:val="00851EBD"/>
    <w:rsid w:val="00874B5B"/>
    <w:rsid w:val="00885FB5"/>
    <w:rsid w:val="008963F1"/>
    <w:rsid w:val="008B06FF"/>
    <w:rsid w:val="008B0E4D"/>
    <w:rsid w:val="008B50A0"/>
    <w:rsid w:val="008C0D81"/>
    <w:rsid w:val="008D09DD"/>
    <w:rsid w:val="008F4843"/>
    <w:rsid w:val="00922F87"/>
    <w:rsid w:val="00925B94"/>
    <w:rsid w:val="00963346"/>
    <w:rsid w:val="00964FB2"/>
    <w:rsid w:val="009A7C8B"/>
    <w:rsid w:val="009C052E"/>
    <w:rsid w:val="009D71E8"/>
    <w:rsid w:val="009D74AE"/>
    <w:rsid w:val="009F70E6"/>
    <w:rsid w:val="00A06051"/>
    <w:rsid w:val="00A06154"/>
    <w:rsid w:val="00A235BB"/>
    <w:rsid w:val="00A53B15"/>
    <w:rsid w:val="00A6331C"/>
    <w:rsid w:val="00A70EAB"/>
    <w:rsid w:val="00A71D74"/>
    <w:rsid w:val="00A85E33"/>
    <w:rsid w:val="00AC2C4A"/>
    <w:rsid w:val="00AF7CE2"/>
    <w:rsid w:val="00B005DB"/>
    <w:rsid w:val="00B16352"/>
    <w:rsid w:val="00B350C2"/>
    <w:rsid w:val="00B365B5"/>
    <w:rsid w:val="00B74A9D"/>
    <w:rsid w:val="00B874CF"/>
    <w:rsid w:val="00B904C6"/>
    <w:rsid w:val="00BB5186"/>
    <w:rsid w:val="00BB74C7"/>
    <w:rsid w:val="00C0427F"/>
    <w:rsid w:val="00C32074"/>
    <w:rsid w:val="00C34630"/>
    <w:rsid w:val="00C44C10"/>
    <w:rsid w:val="00C862EE"/>
    <w:rsid w:val="00CB195D"/>
    <w:rsid w:val="00CB5C68"/>
    <w:rsid w:val="00CC0D27"/>
    <w:rsid w:val="00CC1F31"/>
    <w:rsid w:val="00CD4EB1"/>
    <w:rsid w:val="00CE1124"/>
    <w:rsid w:val="00CF7449"/>
    <w:rsid w:val="00D00198"/>
    <w:rsid w:val="00D109C8"/>
    <w:rsid w:val="00D47789"/>
    <w:rsid w:val="00D47808"/>
    <w:rsid w:val="00D52E07"/>
    <w:rsid w:val="00D64C82"/>
    <w:rsid w:val="00D67A84"/>
    <w:rsid w:val="00D77280"/>
    <w:rsid w:val="00D81694"/>
    <w:rsid w:val="00DA4414"/>
    <w:rsid w:val="00DE3283"/>
    <w:rsid w:val="00DF042E"/>
    <w:rsid w:val="00E13705"/>
    <w:rsid w:val="00E317F8"/>
    <w:rsid w:val="00E44276"/>
    <w:rsid w:val="00E45948"/>
    <w:rsid w:val="00E521BD"/>
    <w:rsid w:val="00E61C3D"/>
    <w:rsid w:val="00E841CC"/>
    <w:rsid w:val="00E85AB6"/>
    <w:rsid w:val="00E955ED"/>
    <w:rsid w:val="00F12D7B"/>
    <w:rsid w:val="00F22713"/>
    <w:rsid w:val="00F5117F"/>
    <w:rsid w:val="00F528E5"/>
    <w:rsid w:val="00F63F4B"/>
    <w:rsid w:val="00F71A8C"/>
    <w:rsid w:val="00F864D7"/>
    <w:rsid w:val="00F90736"/>
    <w:rsid w:val="00F925F0"/>
    <w:rsid w:val="00F9603A"/>
    <w:rsid w:val="00FB0FF3"/>
    <w:rsid w:val="00FB2D45"/>
    <w:rsid w:val="00FC37AF"/>
    <w:rsid w:val="00FE5C5A"/>
    <w:rsid w:val="00FF50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D80A6"/>
  <w15:chartTrackingRefBased/>
  <w15:docId w15:val="{B8DFB555-1756-443A-BD73-EEE8288E9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3A55A8"/>
    <w:pPr>
      <w:spacing w:line="340" w:lineRule="atLeast"/>
      <w:jc w:val="both"/>
    </w:pPr>
    <w:rPr>
      <w:rFonts w:ascii="Times New Roman" w:eastAsia="Times New Roman" w:hAnsi="Times New Roman"/>
      <w:color w:val="000000"/>
      <w:sz w:val="24"/>
      <w:lang w:val="en-US"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basedOn w:val="MDPI31text"/>
    <w:next w:val="MDPI12title"/>
    <w:qFormat/>
    <w:rsid w:val="003A55A8"/>
    <w:pPr>
      <w:spacing w:before="240" w:line="240" w:lineRule="auto"/>
      <w:ind w:firstLine="0"/>
      <w:jc w:val="left"/>
    </w:pPr>
    <w:rPr>
      <w:i/>
    </w:rPr>
  </w:style>
  <w:style w:type="paragraph" w:customStyle="1" w:styleId="MDPI12title">
    <w:name w:val="MDPI_1.2_title"/>
    <w:next w:val="MDPI13authornames"/>
    <w:qFormat/>
    <w:rsid w:val="003A55A8"/>
    <w:pPr>
      <w:adjustRightInd w:val="0"/>
      <w:snapToGrid w:val="0"/>
      <w:spacing w:after="240" w:line="400" w:lineRule="exac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basedOn w:val="MDPI31text"/>
    <w:next w:val="MDPI14history"/>
    <w:qFormat/>
    <w:rsid w:val="003A55A8"/>
    <w:pPr>
      <w:spacing w:after="120"/>
      <w:ind w:firstLine="0"/>
      <w:jc w:val="left"/>
    </w:pPr>
    <w:rPr>
      <w:b/>
      <w:snapToGrid/>
    </w:rPr>
  </w:style>
  <w:style w:type="paragraph" w:customStyle="1" w:styleId="MDPI14history">
    <w:name w:val="MDPI_1.4_history"/>
    <w:basedOn w:val="MDPI62Acknowledgments"/>
    <w:next w:val="Normale"/>
    <w:qFormat/>
    <w:rsid w:val="003A55A8"/>
    <w:pPr>
      <w:ind w:left="113"/>
      <w:jc w:val="left"/>
    </w:pPr>
    <w:rPr>
      <w:snapToGrid/>
    </w:rPr>
  </w:style>
  <w:style w:type="paragraph" w:customStyle="1" w:styleId="MDPI16affiliation">
    <w:name w:val="MDPI_1.6_affiliation"/>
    <w:basedOn w:val="MDPI62Acknowledgments"/>
    <w:qFormat/>
    <w:rsid w:val="003A55A8"/>
    <w:pPr>
      <w:spacing w:before="0"/>
      <w:ind w:left="311" w:hanging="198"/>
      <w:jc w:val="left"/>
    </w:pPr>
    <w:rPr>
      <w:snapToGrid/>
      <w:szCs w:val="18"/>
    </w:rPr>
  </w:style>
  <w:style w:type="paragraph" w:customStyle="1" w:styleId="MDPI17abstract">
    <w:name w:val="MDPI_1.7_abstract"/>
    <w:basedOn w:val="MDPI31text"/>
    <w:next w:val="MDPI18keywords"/>
    <w:qFormat/>
    <w:rsid w:val="003A55A8"/>
    <w:pPr>
      <w:spacing w:before="240"/>
      <w:ind w:left="113" w:firstLine="0"/>
    </w:pPr>
    <w:rPr>
      <w:snapToGrid/>
    </w:rPr>
  </w:style>
  <w:style w:type="paragraph" w:customStyle="1" w:styleId="MDPI18keywords">
    <w:name w:val="MDPI_1.8_keywords"/>
    <w:basedOn w:val="MDPI31text"/>
    <w:next w:val="Normale"/>
    <w:qFormat/>
    <w:rsid w:val="003A55A8"/>
    <w:pPr>
      <w:spacing w:before="240"/>
      <w:ind w:left="113" w:firstLine="0"/>
    </w:pPr>
  </w:style>
  <w:style w:type="paragraph" w:customStyle="1" w:styleId="MDPI19line">
    <w:name w:val="MDPI_1.9_line"/>
    <w:basedOn w:val="MDPI31text"/>
    <w:qFormat/>
    <w:rsid w:val="003A55A8"/>
    <w:pPr>
      <w:pBdr>
        <w:bottom w:val="single" w:sz="6" w:space="1" w:color="auto"/>
      </w:pBdr>
      <w:ind w:firstLine="0"/>
    </w:pPr>
    <w:rPr>
      <w:snapToGrid/>
      <w:szCs w:val="24"/>
    </w:rPr>
  </w:style>
  <w:style w:type="table" w:customStyle="1" w:styleId="Mdeck5tablebodythreelines">
    <w:name w:val="M_deck_5_table_body_three_lines"/>
    <w:basedOn w:val="Tabellanormale"/>
    <w:uiPriority w:val="99"/>
    <w:rsid w:val="003A55A8"/>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3A55A8"/>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3A55A8"/>
    <w:pPr>
      <w:tabs>
        <w:tab w:val="center" w:pos="4153"/>
        <w:tab w:val="right" w:pos="8306"/>
      </w:tabs>
      <w:snapToGrid w:val="0"/>
      <w:spacing w:line="240" w:lineRule="atLeast"/>
    </w:pPr>
    <w:rPr>
      <w:sz w:val="18"/>
      <w:szCs w:val="18"/>
    </w:rPr>
  </w:style>
  <w:style w:type="character" w:customStyle="1" w:styleId="PidipaginaCarattere">
    <w:name w:val="Piè di pagina Carattere"/>
    <w:link w:val="Pidipagina"/>
    <w:uiPriority w:val="99"/>
    <w:rsid w:val="003A55A8"/>
    <w:rPr>
      <w:rFonts w:ascii="Times New Roman" w:eastAsia="Times New Roman" w:hAnsi="Times New Roman" w:cs="Times New Roman"/>
      <w:color w:val="000000"/>
      <w:kern w:val="0"/>
      <w:sz w:val="18"/>
      <w:szCs w:val="18"/>
      <w:lang w:eastAsia="de-DE"/>
    </w:rPr>
  </w:style>
  <w:style w:type="paragraph" w:styleId="Intestazione">
    <w:name w:val="header"/>
    <w:basedOn w:val="Normale"/>
    <w:link w:val="IntestazioneCarattere"/>
    <w:uiPriority w:val="99"/>
    <w:rsid w:val="003A55A8"/>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IntestazioneCarattere">
    <w:name w:val="Intestazione Carattere"/>
    <w:link w:val="Intestazione"/>
    <w:uiPriority w:val="99"/>
    <w:rsid w:val="003A55A8"/>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3A55A8"/>
    <w:pPr>
      <w:adjustRightInd w:val="0"/>
      <w:snapToGrid w:val="0"/>
    </w:pPr>
    <w:rPr>
      <w:rFonts w:ascii="Palatino Linotype" w:eastAsia="Times New Roman" w:hAnsi="Palatino Linotype"/>
      <w:i/>
      <w:color w:val="000000"/>
      <w:sz w:val="24"/>
      <w:szCs w:val="22"/>
      <w:lang w:val="en-US" w:eastAsia="de-CH"/>
    </w:rPr>
  </w:style>
  <w:style w:type="paragraph" w:customStyle="1" w:styleId="MDPI32textnoindent">
    <w:name w:val="MDPI_3.2_text_no_indent"/>
    <w:basedOn w:val="MDPI31text"/>
    <w:qFormat/>
    <w:rsid w:val="003A55A8"/>
    <w:pPr>
      <w:ind w:firstLine="0"/>
    </w:pPr>
  </w:style>
  <w:style w:type="paragraph" w:customStyle="1" w:styleId="MDPI33textspaceafter">
    <w:name w:val="MDPI_3.3_text_space_after"/>
    <w:basedOn w:val="MDPI31text"/>
    <w:qFormat/>
    <w:rsid w:val="003A55A8"/>
    <w:pPr>
      <w:spacing w:after="240"/>
    </w:pPr>
  </w:style>
  <w:style w:type="paragraph" w:customStyle="1" w:styleId="MDPI34textspacebefore">
    <w:name w:val="MDPI_3.4_text_space_before"/>
    <w:basedOn w:val="MDPI31text"/>
    <w:qFormat/>
    <w:rsid w:val="003A55A8"/>
    <w:pPr>
      <w:spacing w:before="240"/>
    </w:pPr>
  </w:style>
  <w:style w:type="paragraph" w:customStyle="1" w:styleId="MDPI35textbeforelist">
    <w:name w:val="MDPI_3.5_text_before_list"/>
    <w:basedOn w:val="MDPI31text"/>
    <w:qFormat/>
    <w:rsid w:val="003A55A8"/>
    <w:pPr>
      <w:spacing w:after="120"/>
    </w:pPr>
  </w:style>
  <w:style w:type="paragraph" w:customStyle="1" w:styleId="MDPI36textafterlist">
    <w:name w:val="MDPI_3.6_text_after_list"/>
    <w:basedOn w:val="MDPI31text"/>
    <w:qFormat/>
    <w:rsid w:val="003A55A8"/>
    <w:pPr>
      <w:spacing w:before="120"/>
    </w:pPr>
  </w:style>
  <w:style w:type="paragraph" w:customStyle="1" w:styleId="MDPI37itemize">
    <w:name w:val="MDPI_3.7_itemize"/>
    <w:basedOn w:val="MDPI31text"/>
    <w:qFormat/>
    <w:rsid w:val="003A55A8"/>
    <w:pPr>
      <w:numPr>
        <w:numId w:val="1"/>
      </w:numPr>
      <w:ind w:left="425" w:hanging="425"/>
    </w:pPr>
  </w:style>
  <w:style w:type="paragraph" w:customStyle="1" w:styleId="MDPI38bullet">
    <w:name w:val="MDPI_3.8_bullet"/>
    <w:basedOn w:val="MDPI31text"/>
    <w:qFormat/>
    <w:rsid w:val="003A55A8"/>
    <w:pPr>
      <w:numPr>
        <w:numId w:val="2"/>
      </w:numPr>
      <w:ind w:left="425" w:hanging="425"/>
    </w:pPr>
  </w:style>
  <w:style w:type="paragraph" w:customStyle="1" w:styleId="MDPI39equation">
    <w:name w:val="MDPI_3.9_equation"/>
    <w:basedOn w:val="MDPI31text"/>
    <w:qFormat/>
    <w:rsid w:val="003A55A8"/>
    <w:pPr>
      <w:spacing w:before="120" w:after="120"/>
      <w:ind w:left="709" w:firstLine="0"/>
      <w:jc w:val="center"/>
    </w:pPr>
  </w:style>
  <w:style w:type="paragraph" w:customStyle="1" w:styleId="MDPI3aequationnumber">
    <w:name w:val="MDPI_3.a_equation_number"/>
    <w:basedOn w:val="MDPI31text"/>
    <w:qFormat/>
    <w:rsid w:val="003A55A8"/>
    <w:pPr>
      <w:spacing w:before="120" w:after="120" w:line="240" w:lineRule="auto"/>
      <w:ind w:firstLine="0"/>
      <w:jc w:val="right"/>
    </w:pPr>
  </w:style>
  <w:style w:type="paragraph" w:customStyle="1" w:styleId="MDPI62Acknowledgments">
    <w:name w:val="MDPI_6.2_Acknowledgments"/>
    <w:qFormat/>
    <w:rsid w:val="003A55A8"/>
    <w:pPr>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basedOn w:val="MDPI62Acknowledgments"/>
    <w:qFormat/>
    <w:rsid w:val="003A55A8"/>
    <w:pPr>
      <w:spacing w:before="240" w:after="120" w:line="260" w:lineRule="atLeast"/>
      <w:ind w:left="425" w:right="425"/>
    </w:pPr>
    <w:rPr>
      <w:snapToGrid/>
      <w:szCs w:val="22"/>
    </w:rPr>
  </w:style>
  <w:style w:type="paragraph" w:customStyle="1" w:styleId="MDPI42tablebody">
    <w:name w:val="MDPI_4.2_table_body"/>
    <w:qFormat/>
    <w:rsid w:val="006F7149"/>
    <w:pPr>
      <w:adjustRightInd w:val="0"/>
      <w:snapToGrid w:val="0"/>
      <w:spacing w:line="260" w:lineRule="atLeast"/>
      <w:jc w:val="center"/>
    </w:pPr>
    <w:rPr>
      <w:rFonts w:ascii="Palatino Linotype" w:eastAsia="Times New Roman" w:hAnsi="Palatino Linotype"/>
      <w:snapToGrid w:val="0"/>
      <w:color w:val="000000"/>
      <w:lang w:val="en-US" w:eastAsia="de-DE" w:bidi="en-US"/>
    </w:rPr>
  </w:style>
  <w:style w:type="paragraph" w:customStyle="1" w:styleId="MDPI43tablefooter">
    <w:name w:val="MDPI_4.3_table_footer"/>
    <w:basedOn w:val="MDPI41tablecaption"/>
    <w:next w:val="MDPI31text"/>
    <w:qFormat/>
    <w:rsid w:val="003A55A8"/>
    <w:pPr>
      <w:spacing w:before="0"/>
      <w:ind w:left="0" w:right="0"/>
    </w:pPr>
  </w:style>
  <w:style w:type="paragraph" w:customStyle="1" w:styleId="MDPI51figurecaption">
    <w:name w:val="MDPI_5.1_figure_caption"/>
    <w:basedOn w:val="MDPI62Acknowledgments"/>
    <w:qFormat/>
    <w:rsid w:val="003A55A8"/>
    <w:pPr>
      <w:spacing w:after="240" w:line="260" w:lineRule="atLeast"/>
      <w:ind w:left="425" w:right="425"/>
    </w:pPr>
    <w:rPr>
      <w:snapToGrid/>
    </w:rPr>
  </w:style>
  <w:style w:type="paragraph" w:customStyle="1" w:styleId="MDPI52figure">
    <w:name w:val="MDPI_5.2_figure"/>
    <w:qFormat/>
    <w:rsid w:val="003A55A8"/>
    <w:pPr>
      <w:jc w:val="center"/>
    </w:pPr>
    <w:rPr>
      <w:rFonts w:ascii="Palatino Linotype" w:eastAsia="Times New Roman" w:hAnsi="Palatino Linotype"/>
      <w:snapToGrid w:val="0"/>
      <w:color w:val="000000"/>
      <w:sz w:val="24"/>
      <w:lang w:val="en-US" w:eastAsia="de-DE" w:bidi="en-US"/>
    </w:rPr>
  </w:style>
  <w:style w:type="paragraph" w:customStyle="1" w:styleId="MDPI61Supplementary">
    <w:name w:val="MDPI_6.1_Supplementary"/>
    <w:basedOn w:val="MDPI62Acknowledgments"/>
    <w:qFormat/>
    <w:rsid w:val="003A55A8"/>
    <w:pPr>
      <w:spacing w:before="240"/>
    </w:pPr>
    <w:rPr>
      <w:lang w:eastAsia="en-US"/>
    </w:rPr>
  </w:style>
  <w:style w:type="paragraph" w:customStyle="1" w:styleId="MDPI63AuthorContributions">
    <w:name w:val="MDPI_6.3_AuthorContributions"/>
    <w:basedOn w:val="MDPI62Acknowledgments"/>
    <w:qFormat/>
    <w:rsid w:val="003A55A8"/>
    <w:rPr>
      <w:rFonts w:eastAsia="SimSun"/>
      <w:color w:val="auto"/>
      <w:lang w:eastAsia="en-US"/>
    </w:rPr>
  </w:style>
  <w:style w:type="paragraph" w:customStyle="1" w:styleId="MDPI64CoI">
    <w:name w:val="MDPI_6.4_CoI"/>
    <w:basedOn w:val="MDPI62Acknowledgments"/>
    <w:qFormat/>
    <w:rsid w:val="003A55A8"/>
  </w:style>
  <w:style w:type="paragraph" w:customStyle="1" w:styleId="MDPI81theorem">
    <w:name w:val="MDPI_8.1_theorem"/>
    <w:basedOn w:val="MDPI32textnoindent"/>
    <w:qFormat/>
    <w:rsid w:val="003A55A8"/>
    <w:rPr>
      <w:i/>
    </w:rPr>
  </w:style>
  <w:style w:type="paragraph" w:customStyle="1" w:styleId="MDPI82proof">
    <w:name w:val="MDPI_8.2_proof"/>
    <w:basedOn w:val="MDPI32textnoindent"/>
    <w:qFormat/>
    <w:rsid w:val="003A55A8"/>
  </w:style>
  <w:style w:type="paragraph" w:customStyle="1" w:styleId="MDPIfooterfirstpage">
    <w:name w:val="MDPI_footer_firstpage"/>
    <w:basedOn w:val="Normale"/>
    <w:qFormat/>
    <w:rsid w:val="003A55A8"/>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3A55A8"/>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3heading3">
    <w:name w:val="MDPI_2.3_heading3"/>
    <w:basedOn w:val="MDPI31text"/>
    <w:qFormat/>
    <w:rsid w:val="003A55A8"/>
    <w:pPr>
      <w:spacing w:before="240" w:after="120"/>
      <w:ind w:firstLine="0"/>
      <w:jc w:val="left"/>
      <w:outlineLvl w:val="2"/>
    </w:pPr>
  </w:style>
  <w:style w:type="paragraph" w:customStyle="1" w:styleId="MDPI21heading1">
    <w:name w:val="MDPI_2.1_heading1"/>
    <w:basedOn w:val="MDPI23heading3"/>
    <w:qFormat/>
    <w:rsid w:val="003A55A8"/>
    <w:pPr>
      <w:outlineLvl w:val="0"/>
    </w:pPr>
    <w:rPr>
      <w:b/>
    </w:rPr>
  </w:style>
  <w:style w:type="paragraph" w:customStyle="1" w:styleId="MDPI22heading2">
    <w:name w:val="MDPI_2.2_heading2"/>
    <w:basedOn w:val="Normale"/>
    <w:qFormat/>
    <w:rsid w:val="003A55A8"/>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3A55A8"/>
    <w:pPr>
      <w:numPr>
        <w:numId w:val="3"/>
      </w:numPr>
      <w:spacing w:before="0" w:line="260" w:lineRule="atLeast"/>
      <w:ind w:left="425" w:hanging="425"/>
    </w:pPr>
  </w:style>
  <w:style w:type="paragraph" w:styleId="Testofumetto">
    <w:name w:val="Balloon Text"/>
    <w:basedOn w:val="Normale"/>
    <w:link w:val="TestofumettoCarattere"/>
    <w:uiPriority w:val="99"/>
    <w:semiHidden/>
    <w:unhideWhenUsed/>
    <w:rsid w:val="003A55A8"/>
    <w:pPr>
      <w:spacing w:line="240" w:lineRule="auto"/>
    </w:pPr>
    <w:rPr>
      <w:sz w:val="18"/>
      <w:szCs w:val="18"/>
    </w:rPr>
  </w:style>
  <w:style w:type="character" w:customStyle="1" w:styleId="TestofumettoCarattere">
    <w:name w:val="Testo fumetto Carattere"/>
    <w:link w:val="Testofumetto"/>
    <w:uiPriority w:val="99"/>
    <w:semiHidden/>
    <w:rsid w:val="003A55A8"/>
    <w:rPr>
      <w:rFonts w:ascii="Times New Roman" w:eastAsia="Times New Roman" w:hAnsi="Times New Roman" w:cs="Times New Roman"/>
      <w:color w:val="000000"/>
      <w:kern w:val="0"/>
      <w:sz w:val="18"/>
      <w:szCs w:val="18"/>
      <w:lang w:eastAsia="de-DE"/>
    </w:rPr>
  </w:style>
  <w:style w:type="character" w:styleId="Numeroriga">
    <w:name w:val="line number"/>
    <w:basedOn w:val="Carpredefinitoparagrafo"/>
    <w:uiPriority w:val="99"/>
    <w:semiHidden/>
    <w:unhideWhenUsed/>
    <w:rsid w:val="003A55A8"/>
  </w:style>
  <w:style w:type="table" w:customStyle="1" w:styleId="MDPI41threelinetable">
    <w:name w:val="MDPI_4.1_three_line_table"/>
    <w:basedOn w:val="Tabellanormale"/>
    <w:uiPriority w:val="99"/>
    <w:rsid w:val="006F7149"/>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Segoe UI" w:hAnsi="Segoe UI"/>
        <w:b/>
        <w:i w:val="0"/>
        <w:sz w:val="20"/>
      </w:rPr>
      <w:tblPr/>
      <w:tcPr>
        <w:tcBorders>
          <w:bottom w:val="single" w:sz="4" w:space="0" w:color="auto"/>
        </w:tcBorders>
      </w:tcPr>
    </w:tblStylePr>
  </w:style>
  <w:style w:type="character" w:styleId="Collegamentoipertestuale">
    <w:name w:val="Hyperlink"/>
    <w:uiPriority w:val="99"/>
    <w:unhideWhenUsed/>
    <w:rsid w:val="005425B6"/>
    <w:rPr>
      <w:color w:val="0563C1"/>
      <w:u w:val="single"/>
    </w:rPr>
  </w:style>
  <w:style w:type="character" w:customStyle="1" w:styleId="Menzionenonrisolta1">
    <w:name w:val="Menzione non risolta1"/>
    <w:uiPriority w:val="99"/>
    <w:semiHidden/>
    <w:unhideWhenUsed/>
    <w:rsid w:val="00963346"/>
    <w:rPr>
      <w:color w:val="605E5C"/>
      <w:shd w:val="clear" w:color="auto" w:fill="E1DFDD"/>
    </w:rPr>
  </w:style>
  <w:style w:type="table" w:styleId="Tabellasemplice4">
    <w:name w:val="Plain Table 4"/>
    <w:basedOn w:val="Tabellanormale"/>
    <w:uiPriority w:val="44"/>
    <w:rsid w:val="00F71A8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Didascalia">
    <w:name w:val="caption"/>
    <w:basedOn w:val="Normale"/>
    <w:next w:val="Normale"/>
    <w:uiPriority w:val="35"/>
    <w:unhideWhenUsed/>
    <w:qFormat/>
    <w:rsid w:val="001556A1"/>
    <w:pPr>
      <w:spacing w:after="200" w:line="240" w:lineRule="auto"/>
    </w:pPr>
    <w:rPr>
      <w:i/>
      <w:iCs/>
      <w:color w:val="44546A" w:themeColor="text2"/>
      <w:sz w:val="18"/>
      <w:szCs w:val="18"/>
    </w:rPr>
  </w:style>
  <w:style w:type="character" w:styleId="Rimandocommento">
    <w:name w:val="annotation reference"/>
    <w:basedOn w:val="Carpredefinitoparagrafo"/>
    <w:uiPriority w:val="99"/>
    <w:semiHidden/>
    <w:unhideWhenUsed/>
    <w:rsid w:val="00E841CC"/>
    <w:rPr>
      <w:sz w:val="16"/>
      <w:szCs w:val="16"/>
    </w:rPr>
  </w:style>
  <w:style w:type="paragraph" w:styleId="Testocommento">
    <w:name w:val="annotation text"/>
    <w:basedOn w:val="Normale"/>
    <w:link w:val="TestocommentoCarattere"/>
    <w:uiPriority w:val="99"/>
    <w:semiHidden/>
    <w:unhideWhenUsed/>
    <w:rsid w:val="00E841CC"/>
    <w:pPr>
      <w:spacing w:line="240" w:lineRule="auto"/>
    </w:pPr>
    <w:rPr>
      <w:sz w:val="20"/>
    </w:rPr>
  </w:style>
  <w:style w:type="character" w:customStyle="1" w:styleId="TestocommentoCarattere">
    <w:name w:val="Testo commento Carattere"/>
    <w:basedOn w:val="Carpredefinitoparagrafo"/>
    <w:link w:val="Testocommento"/>
    <w:uiPriority w:val="99"/>
    <w:semiHidden/>
    <w:rsid w:val="00E841CC"/>
    <w:rPr>
      <w:rFonts w:ascii="Times New Roman" w:eastAsia="Times New Roman" w:hAnsi="Times New Roman"/>
      <w:color w:val="000000"/>
      <w:lang w:val="en-US" w:eastAsia="de-DE"/>
    </w:rPr>
  </w:style>
  <w:style w:type="paragraph" w:styleId="Soggettocommento">
    <w:name w:val="annotation subject"/>
    <w:basedOn w:val="Testocommento"/>
    <w:next w:val="Testocommento"/>
    <w:link w:val="SoggettocommentoCarattere"/>
    <w:uiPriority w:val="99"/>
    <w:semiHidden/>
    <w:unhideWhenUsed/>
    <w:rsid w:val="00E841CC"/>
    <w:rPr>
      <w:b/>
      <w:bCs/>
    </w:rPr>
  </w:style>
  <w:style w:type="character" w:customStyle="1" w:styleId="SoggettocommentoCarattere">
    <w:name w:val="Soggetto commento Carattere"/>
    <w:basedOn w:val="TestocommentoCarattere"/>
    <w:link w:val="Soggettocommento"/>
    <w:uiPriority w:val="99"/>
    <w:semiHidden/>
    <w:rsid w:val="00E841CC"/>
    <w:rPr>
      <w:rFonts w:ascii="Times New Roman" w:eastAsia="Times New Roman" w:hAnsi="Times New Roman"/>
      <w:b/>
      <w:bCs/>
      <w:color w:val="000000"/>
      <w:lang w:val="en-US" w:eastAsia="de-DE"/>
    </w:rPr>
  </w:style>
  <w:style w:type="character" w:styleId="Testosegnaposto">
    <w:name w:val="Placeholder Text"/>
    <w:basedOn w:val="Carpredefinitoparagrafo"/>
    <w:uiPriority w:val="99"/>
    <w:semiHidden/>
    <w:rsid w:val="00277FB1"/>
    <w:rPr>
      <w:color w:val="808080"/>
    </w:rPr>
  </w:style>
  <w:style w:type="character" w:styleId="Menzionenonrisolta">
    <w:name w:val="Unresolved Mention"/>
    <w:basedOn w:val="Carpredefinitoparagrafo"/>
    <w:uiPriority w:val="99"/>
    <w:semiHidden/>
    <w:unhideWhenUsed/>
    <w:rsid w:val="002777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8144307">
      <w:bodyDiv w:val="1"/>
      <w:marLeft w:val="0"/>
      <w:marRight w:val="0"/>
      <w:marTop w:val="0"/>
      <w:marBottom w:val="0"/>
      <w:divBdr>
        <w:top w:val="none" w:sz="0" w:space="0" w:color="auto"/>
        <w:left w:val="none" w:sz="0" w:space="0" w:color="auto"/>
        <w:bottom w:val="none" w:sz="0" w:space="0" w:color="auto"/>
        <w:right w:val="none" w:sz="0" w:space="0" w:color="auto"/>
      </w:divBdr>
    </w:div>
    <w:div w:id="1619951097">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hyperlink" Target="https://doi.org/10.1016/j.lfs.2018.08.019"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tiff"/><Relationship Id="rId12" Type="http://schemas.openxmlformats.org/officeDocument/2006/relationships/image" Target="media/image6.tif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ti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tiff"/><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image" Target="media/image7.png"/></Relationships>
</file>

<file path=word/_rels/header3.xml.rels><?xml version="1.0" encoding="UTF-8" standalone="yes"?>
<Relationships xmlns="http://schemas.openxmlformats.org/package/2006/relationships"><Relationship Id="rId3" Type="http://schemas.openxmlformats.org/officeDocument/2006/relationships/image" Target="media/image90.png"/><Relationship Id="rId2" Type="http://schemas.openxmlformats.org/officeDocument/2006/relationships/image" Target="media/image9.png"/><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ustina\Desktop\Cancers%20Trabectedin.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C:\Users\Giustina\Desktop\Cancers Trabectedin.dot</Template>
  <TotalTime>42</TotalTime>
  <Pages>17</Pages>
  <Words>7045</Words>
  <Characters>40163</Characters>
  <Application>Microsoft Office Word</Application>
  <DocSecurity>0</DocSecurity>
  <Lines>334</Lines>
  <Paragraphs>94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47114</CharactersWithSpaces>
  <SharedDoc>false</SharedDoc>
  <HLinks>
    <vt:vector size="12" baseType="variant">
      <vt:variant>
        <vt:i4>6094915</vt:i4>
      </vt:variant>
      <vt:variant>
        <vt:i4>3</vt:i4>
      </vt:variant>
      <vt:variant>
        <vt:i4>0</vt:i4>
      </vt:variant>
      <vt:variant>
        <vt:i4>5</vt:i4>
      </vt:variant>
      <vt:variant>
        <vt:lpwstr>http://img.mdpi.org/data/contributor-role-instruction.pdf</vt:lpwstr>
      </vt:variant>
      <vt:variant>
        <vt:lpwstr/>
      </vt:variant>
      <vt:variant>
        <vt:i4>2490387</vt:i4>
      </vt:variant>
      <vt:variant>
        <vt:i4>0</vt:i4>
      </vt:variant>
      <vt:variant>
        <vt:i4>0</vt:i4>
      </vt:variant>
      <vt:variant>
        <vt:i4>5</vt:i4>
      </vt:variant>
      <vt:variant>
        <vt:lpwstr>mailto:support@mdpi.com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 LAB7</dc:creator>
  <cp:keywords/>
  <dc:description/>
  <cp:lastModifiedBy>mattia carini</cp:lastModifiedBy>
  <cp:revision>10</cp:revision>
  <cp:lastPrinted>2020-02-19T14:35:00Z</cp:lastPrinted>
  <dcterms:created xsi:type="dcterms:W3CDTF">2020-03-22T09:13:00Z</dcterms:created>
  <dcterms:modified xsi:type="dcterms:W3CDTF">2020-03-22T11:25:00Z</dcterms:modified>
</cp:coreProperties>
</file>