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1AB3" w:rsidRPr="00101AB3" w:rsidRDefault="00101AB3" w:rsidP="00101A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101AB3">
        <w:rPr>
          <w:rFonts w:ascii="Courier New" w:eastAsia="Times New Roman" w:hAnsi="Courier New" w:cs="Courier New"/>
          <w:sz w:val="20"/>
          <w:szCs w:val="20"/>
          <w:lang w:val="en-US" w:eastAsia="it-IT"/>
        </w:rPr>
        <w:t>BACKGROUND: There is increasing evidence that, in addition to the well-known</w:t>
      </w:r>
    </w:p>
    <w:p w:rsidR="00101AB3" w:rsidRPr="00101AB3" w:rsidRDefault="00101AB3" w:rsidP="00101A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101AB3">
        <w:rPr>
          <w:rFonts w:ascii="Courier New" w:eastAsia="Times New Roman" w:hAnsi="Courier New" w:cs="Courier New"/>
          <w:sz w:val="20"/>
          <w:szCs w:val="20"/>
          <w:lang w:val="en-US" w:eastAsia="it-IT"/>
        </w:rPr>
        <w:t>effects on musculoskeletal health, vitamin D status may be related to a number of</w:t>
      </w:r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r w:rsidRPr="00101AB3">
        <w:rPr>
          <w:rFonts w:ascii="Courier New" w:eastAsia="Times New Roman" w:hAnsi="Courier New" w:cs="Courier New"/>
          <w:sz w:val="20"/>
          <w:szCs w:val="20"/>
          <w:lang w:val="en-US" w:eastAsia="it-IT"/>
        </w:rPr>
        <w:t>non-skeletal diseases. An intern</w:t>
      </w:r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ational expert panel formulated </w:t>
      </w:r>
      <w:r w:rsidRPr="00101AB3">
        <w:rPr>
          <w:rFonts w:ascii="Courier New" w:eastAsia="Times New Roman" w:hAnsi="Courier New" w:cs="Courier New"/>
          <w:sz w:val="20"/>
          <w:szCs w:val="20"/>
          <w:lang w:val="en-US" w:eastAsia="it-IT"/>
        </w:rPr>
        <w:t>recommendations</w:t>
      </w:r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r w:rsidRPr="00101AB3">
        <w:rPr>
          <w:rFonts w:ascii="Courier New" w:eastAsia="Times New Roman" w:hAnsi="Courier New" w:cs="Courier New"/>
          <w:sz w:val="20"/>
          <w:szCs w:val="20"/>
          <w:lang w:val="en-US" w:eastAsia="it-IT"/>
        </w:rPr>
        <w:t>on vitamin D for clinical practice, taking into consideration the best evidence</w:t>
      </w:r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r w:rsidRPr="00101AB3">
        <w:rPr>
          <w:rFonts w:ascii="Courier New" w:eastAsia="Times New Roman" w:hAnsi="Courier New" w:cs="Courier New"/>
          <w:sz w:val="20"/>
          <w:szCs w:val="20"/>
          <w:lang w:val="en-US" w:eastAsia="it-IT"/>
        </w:rPr>
        <w:t>available based on published literature today. In addition, where data were</w:t>
      </w:r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r w:rsidRPr="00101AB3">
        <w:rPr>
          <w:rFonts w:ascii="Courier New" w:eastAsia="Times New Roman" w:hAnsi="Courier New" w:cs="Courier New"/>
          <w:sz w:val="20"/>
          <w:szCs w:val="20"/>
          <w:lang w:val="en-US" w:eastAsia="it-IT"/>
        </w:rPr>
        <w:t>limited to smaller clinical trials or epidemiologic studies, the panel made</w:t>
      </w:r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r w:rsidRPr="00101AB3">
        <w:rPr>
          <w:rFonts w:ascii="Courier New" w:eastAsia="Times New Roman" w:hAnsi="Courier New" w:cs="Courier New"/>
          <w:sz w:val="20"/>
          <w:szCs w:val="20"/>
          <w:lang w:val="en-US" w:eastAsia="it-IT"/>
        </w:rPr>
        <w:t>expert-opinion based recommendations.</w:t>
      </w:r>
    </w:p>
    <w:p w:rsidR="00101AB3" w:rsidRPr="00101AB3" w:rsidRDefault="00101AB3" w:rsidP="00101A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101AB3">
        <w:rPr>
          <w:rFonts w:ascii="Courier New" w:eastAsia="Times New Roman" w:hAnsi="Courier New" w:cs="Courier New"/>
          <w:sz w:val="20"/>
          <w:szCs w:val="20"/>
          <w:lang w:val="en-US" w:eastAsia="it-IT"/>
        </w:rPr>
        <w:t>METHODS: Twenty-five experts from various disciplines (classical clinical</w:t>
      </w:r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r w:rsidRPr="00101AB3">
        <w:rPr>
          <w:rFonts w:ascii="Courier New" w:eastAsia="Times New Roman" w:hAnsi="Courier New" w:cs="Courier New"/>
          <w:sz w:val="20"/>
          <w:szCs w:val="20"/>
          <w:lang w:val="en-US" w:eastAsia="it-IT"/>
        </w:rPr>
        <w:t>applications, cardiology, autoimmunity, and cancer) established draft</w:t>
      </w:r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r w:rsidRPr="00101AB3">
        <w:rPr>
          <w:rFonts w:ascii="Courier New" w:eastAsia="Times New Roman" w:hAnsi="Courier New" w:cs="Courier New"/>
          <w:sz w:val="20"/>
          <w:szCs w:val="20"/>
          <w:lang w:val="en-US" w:eastAsia="it-IT"/>
        </w:rPr>
        <w:t>recommendations during a 2-day meeting. Thereafter, representatives of all</w:t>
      </w:r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r w:rsidRPr="00101AB3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disciplines refined the recommendations and related texts, subsequently reviewed </w:t>
      </w:r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r w:rsidRPr="00101AB3">
        <w:rPr>
          <w:rFonts w:ascii="Courier New" w:eastAsia="Times New Roman" w:hAnsi="Courier New" w:cs="Courier New"/>
          <w:sz w:val="20"/>
          <w:szCs w:val="20"/>
          <w:lang w:val="en-US" w:eastAsia="it-IT"/>
        </w:rPr>
        <w:t>by all panelists. For all recommendations, panelists expressed the extent of</w:t>
      </w:r>
    </w:p>
    <w:p w:rsidR="00101AB3" w:rsidRPr="00101AB3" w:rsidRDefault="00101AB3" w:rsidP="00101A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101AB3">
        <w:rPr>
          <w:rFonts w:ascii="Courier New" w:eastAsia="Times New Roman" w:hAnsi="Courier New" w:cs="Courier New"/>
          <w:sz w:val="20"/>
          <w:szCs w:val="20"/>
          <w:lang w:val="en-US" w:eastAsia="it-IT"/>
        </w:rPr>
        <w:t>agreement using a 5-point scale.</w:t>
      </w:r>
    </w:p>
    <w:p w:rsidR="00101AB3" w:rsidRPr="00101AB3" w:rsidRDefault="00101AB3" w:rsidP="00101A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101AB3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RESULTS AND CONCLUSION: Recommendations were restricted to clinical practice and </w:t>
      </w:r>
    </w:p>
    <w:p w:rsidR="00101AB3" w:rsidRPr="00101AB3" w:rsidRDefault="00101AB3" w:rsidP="00101A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101AB3">
        <w:rPr>
          <w:rFonts w:ascii="Courier New" w:eastAsia="Times New Roman" w:hAnsi="Courier New" w:cs="Courier New"/>
          <w:sz w:val="20"/>
          <w:szCs w:val="20"/>
          <w:lang w:val="en-US" w:eastAsia="it-IT"/>
        </w:rPr>
        <w:t>concern adult patients with or at risk for fractures, falls, cardiovascular or</w:t>
      </w:r>
    </w:p>
    <w:p w:rsidR="00101AB3" w:rsidRPr="00101AB3" w:rsidRDefault="00101AB3" w:rsidP="00101A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101AB3">
        <w:rPr>
          <w:rFonts w:ascii="Courier New" w:eastAsia="Times New Roman" w:hAnsi="Courier New" w:cs="Courier New"/>
          <w:sz w:val="20"/>
          <w:szCs w:val="20"/>
          <w:lang w:val="en-US" w:eastAsia="it-IT"/>
        </w:rPr>
        <w:t>autoimmune diseases, and cancer. The panel reached substantial agreement about</w:t>
      </w:r>
    </w:p>
    <w:p w:rsidR="00101AB3" w:rsidRPr="00101AB3" w:rsidRDefault="00101AB3" w:rsidP="00101A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101AB3">
        <w:rPr>
          <w:rFonts w:ascii="Courier New" w:eastAsia="Times New Roman" w:hAnsi="Courier New" w:cs="Courier New"/>
          <w:sz w:val="20"/>
          <w:szCs w:val="20"/>
          <w:lang w:val="en-US" w:eastAsia="it-IT"/>
        </w:rPr>
        <w:t>the need for vitamin D supplementation in specific groups of patients in these</w:t>
      </w:r>
    </w:p>
    <w:p w:rsidR="00101AB3" w:rsidRPr="00101AB3" w:rsidRDefault="00101AB3" w:rsidP="00101A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101AB3">
        <w:rPr>
          <w:rFonts w:ascii="Courier New" w:eastAsia="Times New Roman" w:hAnsi="Courier New" w:cs="Courier New"/>
          <w:sz w:val="20"/>
          <w:szCs w:val="20"/>
          <w:lang w:val="en-US" w:eastAsia="it-IT"/>
        </w:rPr>
        <w:t>clinical areas and the need for assessing their 25-hydroxyvitamin D (25(OH)D)</w:t>
      </w:r>
    </w:p>
    <w:p w:rsidR="00101AB3" w:rsidRPr="00101AB3" w:rsidRDefault="00101AB3" w:rsidP="00101A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  <w:r w:rsidRPr="00101AB3"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serum levels for optimal clinical care. A target range of at least 30 to 40 </w:t>
      </w:r>
      <w:proofErr w:type="spellStart"/>
      <w:r w:rsidRPr="00101AB3">
        <w:rPr>
          <w:rFonts w:ascii="Courier New" w:eastAsia="Times New Roman" w:hAnsi="Courier New" w:cs="Courier New"/>
          <w:sz w:val="20"/>
          <w:szCs w:val="20"/>
          <w:lang w:val="en-US" w:eastAsia="it-IT"/>
        </w:rPr>
        <w:t>ng</w:t>
      </w:r>
      <w:proofErr w:type="spellEnd"/>
      <w:r w:rsidRPr="00101AB3">
        <w:rPr>
          <w:rFonts w:ascii="Courier New" w:eastAsia="Times New Roman" w:hAnsi="Courier New" w:cs="Courier New"/>
          <w:sz w:val="20"/>
          <w:szCs w:val="20"/>
          <w:lang w:val="en-US" w:eastAsia="it-IT"/>
        </w:rPr>
        <w:t>/</w:t>
      </w:r>
      <w:proofErr w:type="spellStart"/>
      <w:r w:rsidRPr="00101AB3">
        <w:rPr>
          <w:rFonts w:ascii="Courier New" w:eastAsia="Times New Roman" w:hAnsi="Courier New" w:cs="Courier New"/>
          <w:sz w:val="20"/>
          <w:szCs w:val="20"/>
          <w:lang w:val="en-US" w:eastAsia="it-IT"/>
        </w:rPr>
        <w:t>mL</w:t>
      </w:r>
      <w:proofErr w:type="spellEnd"/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r w:rsidRPr="00101AB3">
        <w:rPr>
          <w:rFonts w:ascii="Courier New" w:eastAsia="Times New Roman" w:hAnsi="Courier New" w:cs="Courier New"/>
          <w:sz w:val="20"/>
          <w:szCs w:val="20"/>
          <w:lang w:val="en-US" w:eastAsia="it-IT"/>
        </w:rPr>
        <w:t>was recommended. As response to treatment varies by environmental factors and</w:t>
      </w:r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r w:rsidRPr="00101AB3">
        <w:rPr>
          <w:rFonts w:ascii="Courier New" w:eastAsia="Times New Roman" w:hAnsi="Courier New" w:cs="Courier New"/>
          <w:sz w:val="20"/>
          <w:szCs w:val="20"/>
          <w:lang w:val="en-US" w:eastAsia="it-IT"/>
        </w:rPr>
        <w:t>starting levels of 25(OH)D, testing may be warranted after at least 3 months of</w:t>
      </w:r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r w:rsidRPr="00101AB3">
        <w:rPr>
          <w:rFonts w:ascii="Courier New" w:eastAsia="Times New Roman" w:hAnsi="Courier New" w:cs="Courier New"/>
          <w:sz w:val="20"/>
          <w:szCs w:val="20"/>
          <w:lang w:val="en-US" w:eastAsia="it-IT"/>
        </w:rPr>
        <w:t>supplementation. An assay measuring both 25(OH)D(2) and 25(OH)D(3) is</w:t>
      </w:r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r w:rsidRPr="00101AB3">
        <w:rPr>
          <w:rFonts w:ascii="Courier New" w:eastAsia="Times New Roman" w:hAnsi="Courier New" w:cs="Courier New"/>
          <w:sz w:val="20"/>
          <w:szCs w:val="20"/>
          <w:lang w:val="en-US" w:eastAsia="it-IT"/>
        </w:rPr>
        <w:t>recommended. Dark-skinned or veiled individuals not exposed much to the sun,</w:t>
      </w:r>
      <w:r>
        <w:rPr>
          <w:rFonts w:ascii="Courier New" w:eastAsia="Times New Roman" w:hAnsi="Courier New" w:cs="Courier New"/>
          <w:sz w:val="20"/>
          <w:szCs w:val="20"/>
          <w:lang w:val="en-US" w:eastAsia="it-IT"/>
        </w:rPr>
        <w:t xml:space="preserve"> </w:t>
      </w:r>
      <w:r w:rsidRPr="00101AB3">
        <w:rPr>
          <w:rFonts w:ascii="Courier New" w:eastAsia="Times New Roman" w:hAnsi="Courier New" w:cs="Courier New"/>
          <w:sz w:val="20"/>
          <w:szCs w:val="20"/>
          <w:lang w:val="en-US" w:eastAsia="it-IT"/>
        </w:rPr>
        <w:t>elderly and institutionalized individuals may be supplemented (800 IU/day)without baseline testing.</w:t>
      </w:r>
    </w:p>
    <w:p w:rsidR="00101AB3" w:rsidRPr="00101AB3" w:rsidRDefault="00101AB3" w:rsidP="00101A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Courier New" w:eastAsia="Times New Roman" w:hAnsi="Courier New" w:cs="Courier New"/>
          <w:sz w:val="20"/>
          <w:szCs w:val="20"/>
          <w:lang w:val="en-US" w:eastAsia="it-IT"/>
        </w:rPr>
      </w:pPr>
    </w:p>
    <w:p w:rsidR="00A733DA" w:rsidRPr="00101AB3" w:rsidRDefault="00A733DA" w:rsidP="00101AB3">
      <w:pPr>
        <w:jc w:val="both"/>
        <w:rPr>
          <w:lang w:val="en-US"/>
        </w:rPr>
      </w:pPr>
    </w:p>
    <w:sectPr w:rsidR="00A733DA" w:rsidRPr="00101AB3" w:rsidSect="00A733D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9"/>
  <w:proofState w:spelling="clean"/>
  <w:defaultTabStop w:val="708"/>
  <w:hyphenationZone w:val="283"/>
  <w:characterSpacingControl w:val="doNotCompress"/>
  <w:compat/>
  <w:rsids>
    <w:rsidRoot w:val="00101AB3"/>
    <w:rsid w:val="00101AB3"/>
    <w:rsid w:val="00A733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733D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101AB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101AB3"/>
    <w:rPr>
      <w:rFonts w:ascii="Courier New" w:eastAsia="Times New Roman" w:hAnsi="Courier New" w:cs="Courier New"/>
      <w:sz w:val="20"/>
      <w:szCs w:val="20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501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269</Words>
  <Characters>1537</Characters>
  <Application>Microsoft Office Word</Application>
  <DocSecurity>0</DocSecurity>
  <Lines>12</Lines>
  <Paragraphs>3</Paragraphs>
  <ScaleCrop>false</ScaleCrop>
  <Company/>
  <LinksUpToDate>false</LinksUpToDate>
  <CharactersWithSpaces>1803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tincania</dc:creator>
  <cp:keywords/>
  <dc:description/>
  <cp:lastModifiedBy>tincania</cp:lastModifiedBy>
  <cp:revision>1</cp:revision>
  <dcterms:created xsi:type="dcterms:W3CDTF">2012-04-30T09:47:00Z</dcterms:created>
  <dcterms:modified xsi:type="dcterms:W3CDTF">2012-04-30T09:48:00Z</dcterms:modified>
</cp:coreProperties>
</file>