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000" w:type="pct"/>
        <w:jc w:val="center"/>
        <w:tblCellSpacing w:w="112" w:type="dxa"/>
        <w:tblCellMar>
          <w:left w:w="0" w:type="dxa"/>
          <w:right w:w="0" w:type="dxa"/>
        </w:tblCellMar>
        <w:tblLook w:val="04A0"/>
      </w:tblPr>
      <w:tblGrid>
        <w:gridCol w:w="10086"/>
      </w:tblGrid>
      <w:tr w:rsidR="00F106D6" w:rsidRPr="00F106D6">
        <w:trPr>
          <w:tblCellSpacing w:w="112" w:type="dxa"/>
          <w:jc w:val="center"/>
        </w:trPr>
        <w:tc>
          <w:tcPr>
            <w:tcW w:w="0" w:type="auto"/>
            <w:vAlign w:val="center"/>
            <w:hideMark/>
          </w:tcPr>
          <w:p w:rsidR="00F106D6" w:rsidRPr="00F106D6" w:rsidRDefault="00F106D6" w:rsidP="00F106D6">
            <w:pPr>
              <w:spacing w:after="0" w:line="240" w:lineRule="auto"/>
              <w:jc w:val="center"/>
              <w:rPr>
                <w:rFonts w:ascii="Verdana" w:eastAsia="Times New Roman" w:hAnsi="Verdana" w:cs="Times New Roman"/>
                <w:color w:val="000000"/>
                <w:sz w:val="23"/>
                <w:szCs w:val="23"/>
                <w:lang w:eastAsia="it-IT"/>
              </w:rPr>
            </w:pPr>
            <w:r w:rsidRPr="00F106D6">
              <w:rPr>
                <w:rFonts w:ascii="Verdana" w:eastAsia="Times New Roman" w:hAnsi="Verdana" w:cs="Times New Roman"/>
                <w:color w:val="000000"/>
                <w:sz w:val="23"/>
                <w:szCs w:val="23"/>
                <w:lang w:eastAsia="it-IT"/>
              </w:rPr>
              <w:t>PROVE</w:t>
            </w:r>
          </w:p>
        </w:tc>
      </w:tr>
      <w:tr w:rsidR="00F106D6" w:rsidRPr="00F106D6">
        <w:trPr>
          <w:tblCellSpacing w:w="112" w:type="dxa"/>
          <w:jc w:val="center"/>
        </w:trPr>
        <w:tc>
          <w:tcPr>
            <w:tcW w:w="0" w:type="auto"/>
            <w:vAlign w:val="center"/>
            <w:hideMark/>
          </w:tcPr>
          <w:tbl>
            <w:tblPr>
              <w:tblW w:w="0" w:type="auto"/>
              <w:jc w:val="center"/>
              <w:tblCellSpacing w:w="0" w:type="dxa"/>
              <w:tblCellMar>
                <w:left w:w="0" w:type="dxa"/>
                <w:right w:w="0" w:type="dxa"/>
              </w:tblCellMar>
              <w:tblLook w:val="04A0"/>
            </w:tblPr>
            <w:tblGrid>
              <w:gridCol w:w="9638"/>
            </w:tblGrid>
            <w:tr w:rsidR="00F106D6" w:rsidRPr="00F106D6">
              <w:trPr>
                <w:tblCellSpacing w:w="0" w:type="dxa"/>
                <w:jc w:val="center"/>
              </w:trPr>
              <w:tc>
                <w:tcPr>
                  <w:tcW w:w="0" w:type="auto"/>
                  <w:vAlign w:val="center"/>
                  <w:hideMark/>
                </w:tcPr>
                <w:p w:rsidR="00F106D6" w:rsidRPr="00F106D6" w:rsidRDefault="00F106D6" w:rsidP="00F106D6">
                  <w:pPr>
                    <w:spacing w:after="240" w:line="240" w:lineRule="auto"/>
                    <w:jc w:val="center"/>
                    <w:rPr>
                      <w:rFonts w:ascii="Verdana" w:eastAsia="Times New Roman" w:hAnsi="Verdana" w:cs="Times New Roman"/>
                      <w:color w:val="666666"/>
                      <w:sz w:val="14"/>
                      <w:szCs w:val="14"/>
                      <w:lang w:eastAsia="it-IT"/>
                    </w:rPr>
                  </w:pPr>
                  <w:r w:rsidRPr="00F106D6">
                    <w:rPr>
                      <w:rFonts w:ascii="Verdana" w:eastAsia="Times New Roman" w:hAnsi="Verdana" w:cs="Times New Roman"/>
                      <w:color w:val="666666"/>
                      <w:sz w:val="14"/>
                      <w:szCs w:val="14"/>
                      <w:lang w:eastAsia="it-IT"/>
                    </w:rPr>
                    <w:t>20 Luglio 2011</w:t>
                  </w:r>
                </w:p>
              </w:tc>
            </w:tr>
            <w:tr w:rsidR="00F106D6" w:rsidRPr="00F106D6">
              <w:trPr>
                <w:tblCellSpacing w:w="0" w:type="dxa"/>
                <w:jc w:val="center"/>
              </w:trPr>
              <w:tc>
                <w:tcPr>
                  <w:tcW w:w="0" w:type="auto"/>
                  <w:vAlign w:val="center"/>
                  <w:hideMark/>
                </w:tcPr>
                <w:p w:rsidR="00F106D6" w:rsidRPr="00F106D6" w:rsidRDefault="00F106D6" w:rsidP="00F106D6">
                  <w:pPr>
                    <w:spacing w:after="0" w:line="240" w:lineRule="auto"/>
                    <w:jc w:val="center"/>
                    <w:rPr>
                      <w:rFonts w:ascii="Verdana" w:eastAsia="Times New Roman" w:hAnsi="Verdana" w:cs="Times New Roman"/>
                      <w:color w:val="000000"/>
                      <w:sz w:val="14"/>
                      <w:szCs w:val="14"/>
                      <w:lang w:eastAsia="it-IT"/>
                    </w:rPr>
                  </w:pPr>
                  <w:r w:rsidRPr="00F106D6">
                    <w:rPr>
                      <w:rFonts w:ascii="Verdana" w:eastAsia="Times New Roman" w:hAnsi="Verdana" w:cs="Times New Roman"/>
                      <w:b/>
                      <w:bCs/>
                      <w:color w:val="000000"/>
                      <w:sz w:val="14"/>
                      <w:szCs w:val="14"/>
                      <w:lang w:eastAsia="it-IT"/>
                    </w:rPr>
                    <w:t>Le Sezioni unite impongono rigore per la lettura in dibattimento di dichiarazioni rese da persone residenti all’estero</w:t>
                  </w:r>
                </w:p>
              </w:tc>
            </w:tr>
            <w:tr w:rsidR="00F106D6" w:rsidRPr="00F106D6">
              <w:trPr>
                <w:tblCellSpacing w:w="0" w:type="dxa"/>
                <w:jc w:val="center"/>
              </w:trPr>
              <w:tc>
                <w:tcPr>
                  <w:tcW w:w="0" w:type="auto"/>
                  <w:vAlign w:val="center"/>
                  <w:hideMark/>
                </w:tcPr>
                <w:p w:rsidR="00F106D6" w:rsidRPr="00F106D6" w:rsidRDefault="00F106D6" w:rsidP="00F106D6">
                  <w:pPr>
                    <w:spacing w:after="0" w:line="240" w:lineRule="auto"/>
                    <w:jc w:val="center"/>
                    <w:rPr>
                      <w:rFonts w:ascii="Verdana" w:eastAsia="Times New Roman" w:hAnsi="Verdana" w:cs="Times New Roman"/>
                      <w:color w:val="666666"/>
                      <w:sz w:val="14"/>
                      <w:szCs w:val="14"/>
                      <w:lang w:eastAsia="it-IT"/>
                    </w:rPr>
                  </w:pPr>
                  <w:r w:rsidRPr="00F106D6">
                    <w:rPr>
                      <w:rFonts w:ascii="Verdana" w:eastAsia="Times New Roman" w:hAnsi="Verdana" w:cs="Times New Roman"/>
                      <w:color w:val="000000"/>
                      <w:sz w:val="14"/>
                      <w:szCs w:val="14"/>
                      <w:lang w:val="fr-FR" w:eastAsia="it-IT"/>
                    </w:rPr>
                    <w:br/>
                    <w:t xml:space="preserve">Cass., Sez. un., 25.11.2010 (dep. 14.7.2011), n. 27918, Pres. Fazzioli, Rel. </w:t>
                  </w:r>
                  <w:r w:rsidRPr="00F106D6">
                    <w:rPr>
                      <w:rFonts w:ascii="Verdana" w:eastAsia="Times New Roman" w:hAnsi="Verdana" w:cs="Times New Roman"/>
                      <w:color w:val="000000"/>
                      <w:sz w:val="14"/>
                      <w:szCs w:val="14"/>
                      <w:lang w:eastAsia="it-IT"/>
                    </w:rPr>
                    <w:t>Franco, ric. De F. (l’assoluta impossibilità dell’esame dibattimentale, richiesta per l’utilizzazione delle dichiarazioni rese nel corso delle indagini dalla persona informata sui fatti residente all’estero, consiste nella totale e definitiva impossibilità di ottenere la presenza del dichiarante)</w:t>
                  </w:r>
                  <w:r w:rsidRPr="00F106D6">
                    <w:rPr>
                      <w:rFonts w:ascii="Verdana" w:eastAsia="Times New Roman" w:hAnsi="Verdana" w:cs="Times New Roman"/>
                      <w:color w:val="000000"/>
                      <w:sz w:val="14"/>
                      <w:szCs w:val="14"/>
                      <w:lang w:eastAsia="it-IT"/>
                    </w:rPr>
                    <w:br/>
                  </w:r>
                  <w:r w:rsidRPr="00F106D6">
                    <w:rPr>
                      <w:rFonts w:ascii="Verdana" w:eastAsia="Times New Roman" w:hAnsi="Verdana" w:cs="Times New Roman"/>
                      <w:color w:val="666666"/>
                      <w:sz w:val="14"/>
                      <w:szCs w:val="14"/>
                      <w:lang w:eastAsia="it-IT"/>
                    </w:rPr>
                    <w:br/>
                  </w:r>
                  <w:r w:rsidRPr="00F106D6">
                    <w:rPr>
                      <w:rFonts w:ascii="Verdana" w:eastAsia="Times New Roman" w:hAnsi="Verdana" w:cs="Times New Roman"/>
                      <w:color w:val="666666"/>
                      <w:sz w:val="14"/>
                      <w:szCs w:val="14"/>
                      <w:lang w:eastAsia="it-IT"/>
                    </w:rPr>
                    <w:br/>
                    <w:t>[</w:t>
                  </w:r>
                  <w:hyperlink r:id="rId4" w:history="1">
                    <w:r w:rsidRPr="00F106D6">
                      <w:rPr>
                        <w:rFonts w:ascii="Verdana" w:eastAsia="Times New Roman" w:hAnsi="Verdana" w:cs="Times New Roman"/>
                        <w:color w:val="999999"/>
                        <w:sz w:val="14"/>
                        <w:lang w:eastAsia="it-IT"/>
                      </w:rPr>
                      <w:t>Hervé Belluta</w:t>
                    </w:r>
                  </w:hyperlink>
                  <w:r w:rsidRPr="00F106D6">
                    <w:rPr>
                      <w:rFonts w:ascii="Verdana" w:eastAsia="Times New Roman" w:hAnsi="Verdana" w:cs="Times New Roman"/>
                      <w:color w:val="666666"/>
                      <w:sz w:val="14"/>
                      <w:szCs w:val="14"/>
                      <w:lang w:eastAsia="it-IT"/>
                    </w:rPr>
                    <w:t>]</w:t>
                  </w:r>
                  <w:r w:rsidRPr="00F106D6">
                    <w:rPr>
                      <w:rFonts w:ascii="Verdana" w:eastAsia="Times New Roman" w:hAnsi="Verdana" w:cs="Times New Roman"/>
                      <w:color w:val="666666"/>
                      <w:sz w:val="14"/>
                      <w:szCs w:val="14"/>
                      <w:lang w:eastAsia="it-IT"/>
                    </w:rPr>
                    <w:br/>
                  </w:r>
                  <w:r w:rsidRPr="00F106D6">
                    <w:rPr>
                      <w:rFonts w:ascii="Verdana" w:eastAsia="Times New Roman" w:hAnsi="Verdana" w:cs="Times New Roman"/>
                      <w:color w:val="666666"/>
                      <w:sz w:val="14"/>
                      <w:szCs w:val="14"/>
                      <w:lang w:eastAsia="it-IT"/>
                    </w:rPr>
                    <w:br/>
                  </w:r>
                  <w:r w:rsidRPr="00F106D6">
                    <w:rPr>
                      <w:rFonts w:ascii="Verdana" w:eastAsia="Times New Roman" w:hAnsi="Verdana" w:cs="Times New Roman"/>
                      <w:b/>
                      <w:bCs/>
                      <w:color w:val="666666"/>
                      <w:sz w:val="14"/>
                      <w:szCs w:val="14"/>
                      <w:lang w:eastAsia="it-IT"/>
                    </w:rPr>
                    <w:t>1.</w:t>
                  </w:r>
                  <w:r w:rsidRPr="00F106D6">
                    <w:rPr>
                      <w:rFonts w:ascii="Verdana" w:eastAsia="Times New Roman" w:hAnsi="Verdana" w:cs="Times New Roman"/>
                      <w:color w:val="666666"/>
                      <w:sz w:val="14"/>
                      <w:szCs w:val="14"/>
                      <w:lang w:eastAsia="it-IT"/>
                    </w:rPr>
                    <w:t xml:space="preserve"> La pronuncia in esame, in materia di condizioni e limiti all’utilizzo in giudizio di </w:t>
                  </w:r>
                  <w:r w:rsidRPr="00F106D6">
                    <w:rPr>
                      <w:rFonts w:ascii="Verdana" w:eastAsia="Times New Roman" w:hAnsi="Verdana" w:cs="Times New Roman"/>
                      <w:b/>
                      <w:bCs/>
                      <w:color w:val="666666"/>
                      <w:sz w:val="14"/>
                      <w:szCs w:val="14"/>
                      <w:lang w:eastAsia="it-IT"/>
                    </w:rPr>
                    <w:t>dichiarazioni</w:t>
                  </w:r>
                  <w:r w:rsidRPr="00F106D6">
                    <w:rPr>
                      <w:rFonts w:ascii="Verdana" w:eastAsia="Times New Roman" w:hAnsi="Verdana" w:cs="Times New Roman"/>
                      <w:color w:val="666666"/>
                      <w:sz w:val="14"/>
                      <w:szCs w:val="14"/>
                      <w:lang w:eastAsia="it-IT"/>
                    </w:rPr>
                    <w:t xml:space="preserve"> rese in indagini da </w:t>
                  </w:r>
                  <w:r w:rsidRPr="00F106D6">
                    <w:rPr>
                      <w:rFonts w:ascii="Verdana" w:eastAsia="Times New Roman" w:hAnsi="Verdana" w:cs="Times New Roman"/>
                      <w:b/>
                      <w:bCs/>
                      <w:color w:val="666666"/>
                      <w:sz w:val="14"/>
                      <w:szCs w:val="14"/>
                      <w:lang w:eastAsia="it-IT"/>
                    </w:rPr>
                    <w:t>persone residenti all’estero</w:t>
                  </w:r>
                  <w:r w:rsidRPr="00F106D6">
                    <w:rPr>
                      <w:rFonts w:ascii="Verdana" w:eastAsia="Times New Roman" w:hAnsi="Verdana" w:cs="Times New Roman"/>
                      <w:color w:val="666666"/>
                      <w:sz w:val="14"/>
                      <w:szCs w:val="14"/>
                      <w:lang w:eastAsia="it-IT"/>
                    </w:rPr>
                    <w:t xml:space="preserve"> giunge attesa e auspicabile. La materia, già oggetto di contrasti giurisprudenziali prima della modifica apportata all’art. 512-</w:t>
                  </w:r>
                  <w:r w:rsidRPr="00F106D6">
                    <w:rPr>
                      <w:rFonts w:ascii="Verdana" w:eastAsia="Times New Roman" w:hAnsi="Verdana" w:cs="Times New Roman"/>
                      <w:i/>
                      <w:iCs/>
                      <w:color w:val="666666"/>
                      <w:sz w:val="14"/>
                      <w:szCs w:val="14"/>
                      <w:lang w:eastAsia="it-IT"/>
                    </w:rPr>
                    <w:t xml:space="preserve">bis </w:t>
                  </w:r>
                  <w:r w:rsidRPr="00F106D6">
                    <w:rPr>
                      <w:rFonts w:ascii="Verdana" w:eastAsia="Times New Roman" w:hAnsi="Verdana" w:cs="Times New Roman"/>
                      <w:color w:val="666666"/>
                      <w:sz w:val="14"/>
                      <w:szCs w:val="14"/>
                      <w:lang w:eastAsia="it-IT"/>
                    </w:rPr>
                    <w:t xml:space="preserve">c.p.p. dall’art. 43 della legge n. 479 del 1999, ha continuato ad essere percorsa da dubbi interpretativi in ordine ai presupposti necessari per la lettura di verbali preliminari, qualora questi non siano “rimpiazzati” dall’escussione dibattimentale della relativa fonte di prova, persona residente all’estero </w:t>
                  </w:r>
                  <w:r w:rsidRPr="00F106D6">
                    <w:rPr>
                      <w:rFonts w:ascii="Verdana" w:eastAsia="Times New Roman" w:hAnsi="Verdana" w:cs="Times New Roman"/>
                      <w:b/>
                      <w:bCs/>
                      <w:color w:val="666666"/>
                      <w:sz w:val="14"/>
                      <w:szCs w:val="14"/>
                      <w:lang w:eastAsia="it-IT"/>
                    </w:rPr>
                    <w:t>non più sentita in dibattimento</w:t>
                  </w:r>
                  <w:r w:rsidRPr="00F106D6">
                    <w:rPr>
                      <w:rFonts w:ascii="Verdana" w:eastAsia="Times New Roman" w:hAnsi="Verdana" w:cs="Times New Roman"/>
                      <w:color w:val="666666"/>
                      <w:sz w:val="14"/>
                      <w:szCs w:val="14"/>
                      <w:lang w:eastAsia="it-IT"/>
                    </w:rPr>
                    <w:t>.</w:t>
                  </w:r>
                  <w:r w:rsidRPr="00F106D6">
                    <w:rPr>
                      <w:rFonts w:ascii="Verdana" w:eastAsia="Times New Roman" w:hAnsi="Verdana" w:cs="Times New Roman"/>
                      <w:color w:val="666666"/>
                      <w:sz w:val="14"/>
                      <w:szCs w:val="14"/>
                      <w:lang w:eastAsia="it-IT"/>
                    </w:rPr>
                    <w:br/>
                    <w:t> </w:t>
                  </w:r>
                  <w:r w:rsidRPr="00F106D6">
                    <w:rPr>
                      <w:rFonts w:ascii="Verdana" w:eastAsia="Times New Roman" w:hAnsi="Verdana" w:cs="Times New Roman"/>
                      <w:color w:val="666666"/>
                      <w:sz w:val="14"/>
                      <w:szCs w:val="14"/>
                      <w:lang w:eastAsia="it-IT"/>
                    </w:rPr>
                    <w:br/>
                    <w:t>Il vecchio testo dell’art. 512-</w:t>
                  </w:r>
                  <w:r w:rsidRPr="00F106D6">
                    <w:rPr>
                      <w:rFonts w:ascii="Verdana" w:eastAsia="Times New Roman" w:hAnsi="Verdana" w:cs="Times New Roman"/>
                      <w:i/>
                      <w:iCs/>
                      <w:color w:val="666666"/>
                      <w:sz w:val="14"/>
                      <w:szCs w:val="14"/>
                      <w:lang w:eastAsia="it-IT"/>
                    </w:rPr>
                    <w:t xml:space="preserve">bis </w:t>
                  </w:r>
                  <w:r w:rsidRPr="00F106D6">
                    <w:rPr>
                      <w:rFonts w:ascii="Verdana" w:eastAsia="Times New Roman" w:hAnsi="Verdana" w:cs="Times New Roman"/>
                      <w:color w:val="666666"/>
                      <w:sz w:val="14"/>
                      <w:szCs w:val="14"/>
                      <w:lang w:eastAsia="it-IT"/>
                    </w:rPr>
                    <w:t>c.p.p. (frutto della legislazione emergenziale del 1992) appariva certamente incompatibile con il rinnovato quadro costituzionale: difatti, una sorta di irripetibilità «di comodo» legittimava il recupero del verbale investigativo quando il teste straniero non fosse stato citato oppure qualora, una volta citato, non fosse comparso, confondendo in sostanza le ragioni oggettive e non di sopravvenuta impossibilità di assunzione della fonte.</w:t>
                  </w:r>
                  <w:r w:rsidRPr="00F106D6">
                    <w:rPr>
                      <w:rFonts w:ascii="Verdana" w:eastAsia="Times New Roman" w:hAnsi="Verdana" w:cs="Times New Roman"/>
                      <w:color w:val="666666"/>
                      <w:sz w:val="14"/>
                      <w:szCs w:val="14"/>
                      <w:lang w:eastAsia="it-IT"/>
                    </w:rPr>
                    <w:br/>
                    <w:t> </w:t>
                  </w:r>
                  <w:r w:rsidRPr="00F106D6">
                    <w:rPr>
                      <w:rFonts w:ascii="Verdana" w:eastAsia="Times New Roman" w:hAnsi="Verdana" w:cs="Times New Roman"/>
                      <w:color w:val="666666"/>
                      <w:sz w:val="14"/>
                      <w:szCs w:val="14"/>
                      <w:lang w:eastAsia="it-IT"/>
                    </w:rPr>
                    <w:br/>
                    <w:t>Contestualmente all’opera di aggiornamento costituzionale culminata nella modifica dell’art. 111, il legislatore, consapevole delle crepe presenti nel sistema, ha innovato l’art. 512-</w:t>
                  </w:r>
                  <w:r w:rsidRPr="00F106D6">
                    <w:rPr>
                      <w:rFonts w:ascii="Verdana" w:eastAsia="Times New Roman" w:hAnsi="Verdana" w:cs="Times New Roman"/>
                      <w:i/>
                      <w:iCs/>
                      <w:color w:val="666666"/>
                      <w:sz w:val="14"/>
                      <w:szCs w:val="14"/>
                      <w:lang w:eastAsia="it-IT"/>
                    </w:rPr>
                    <w:t xml:space="preserve">bis </w:t>
                  </w:r>
                  <w:r w:rsidRPr="00F106D6">
                    <w:rPr>
                      <w:rFonts w:ascii="Verdana" w:eastAsia="Times New Roman" w:hAnsi="Verdana" w:cs="Times New Roman"/>
                      <w:color w:val="666666"/>
                      <w:sz w:val="14"/>
                      <w:szCs w:val="14"/>
                      <w:lang w:eastAsia="it-IT"/>
                    </w:rPr>
                    <w:t>c.p.p.: tuttavia, ad oggi perdurano incertezze sull’effettività dei tentativi di citazione del testimone e sulla natura reale dell’impossibilità assoluta di sentirlo in giudizio.</w:t>
                  </w:r>
                  <w:r w:rsidRPr="00F106D6">
                    <w:rPr>
                      <w:rFonts w:ascii="Verdana" w:eastAsia="Times New Roman" w:hAnsi="Verdana" w:cs="Times New Roman"/>
                      <w:color w:val="666666"/>
                      <w:sz w:val="14"/>
                      <w:szCs w:val="14"/>
                      <w:lang w:eastAsia="it-IT"/>
                    </w:rPr>
                    <w:br/>
                    <w:t> </w:t>
                  </w:r>
                  <w:r w:rsidRPr="00F106D6">
                    <w:rPr>
                      <w:rFonts w:ascii="Verdana" w:eastAsia="Times New Roman" w:hAnsi="Verdana" w:cs="Times New Roman"/>
                      <w:color w:val="666666"/>
                      <w:sz w:val="14"/>
                      <w:szCs w:val="14"/>
                      <w:lang w:eastAsia="it-IT"/>
                    </w:rPr>
                    <w:br/>
                  </w:r>
                  <w:r w:rsidRPr="00F106D6">
                    <w:rPr>
                      <w:rFonts w:ascii="Verdana" w:eastAsia="Times New Roman" w:hAnsi="Verdana" w:cs="Times New Roman"/>
                      <w:b/>
                      <w:bCs/>
                      <w:color w:val="666666"/>
                      <w:sz w:val="14"/>
                      <w:szCs w:val="14"/>
                      <w:lang w:eastAsia="it-IT"/>
                    </w:rPr>
                    <w:t>2.</w:t>
                  </w:r>
                  <w:r w:rsidRPr="00F106D6">
                    <w:rPr>
                      <w:rFonts w:ascii="Verdana" w:eastAsia="Times New Roman" w:hAnsi="Verdana" w:cs="Times New Roman"/>
                      <w:color w:val="666666"/>
                      <w:sz w:val="14"/>
                      <w:szCs w:val="14"/>
                      <w:lang w:eastAsia="it-IT"/>
                    </w:rPr>
                    <w:t xml:space="preserve"> La decisione delle Sezioni Unite appare molto sensibile al contesto giuridico di un processo penale calato nel sistema delle garanzie costituzionali. In effetti, la norma probatoria risulta legittima solo se conforme alla regola del contraddittorio o se “coperta” da una delle eccezioni scolpite nel comma 5 dell’art. 111 Cost. Le </w:t>
                  </w:r>
                  <w:r w:rsidRPr="00F106D6">
                    <w:rPr>
                      <w:rFonts w:ascii="Verdana" w:eastAsia="Times New Roman" w:hAnsi="Verdana" w:cs="Times New Roman"/>
                      <w:b/>
                      <w:bCs/>
                      <w:color w:val="666666"/>
                      <w:sz w:val="14"/>
                      <w:szCs w:val="14"/>
                      <w:lang w:eastAsia="it-IT"/>
                    </w:rPr>
                    <w:t>letture dibattimentali</w:t>
                  </w:r>
                  <w:r w:rsidRPr="00F106D6">
                    <w:rPr>
                      <w:rFonts w:ascii="Verdana" w:eastAsia="Times New Roman" w:hAnsi="Verdana" w:cs="Times New Roman"/>
                      <w:color w:val="666666"/>
                      <w:sz w:val="14"/>
                      <w:szCs w:val="14"/>
                      <w:lang w:eastAsia="it-IT"/>
                    </w:rPr>
                    <w:t xml:space="preserve"> – di per sé espressione di una deroga all’oralità – si collocano al confine dell’area consentita dalla Costituzione: trovano legittimazione in esigenze eccezionali, che il sistema protegge a </w:t>
                  </w:r>
                  <w:r w:rsidRPr="00F106D6">
                    <w:rPr>
                      <w:rFonts w:ascii="Verdana" w:eastAsia="Times New Roman" w:hAnsi="Verdana" w:cs="Times New Roman"/>
                      <w:b/>
                      <w:bCs/>
                      <w:color w:val="666666"/>
                      <w:sz w:val="14"/>
                      <w:szCs w:val="14"/>
                      <w:lang w:eastAsia="it-IT"/>
                    </w:rPr>
                    <w:t>precise condizioni</w:t>
                  </w:r>
                  <w:r w:rsidRPr="00F106D6">
                    <w:rPr>
                      <w:rFonts w:ascii="Verdana" w:eastAsia="Times New Roman" w:hAnsi="Verdana" w:cs="Times New Roman"/>
                      <w:color w:val="666666"/>
                      <w:sz w:val="14"/>
                      <w:szCs w:val="14"/>
                      <w:lang w:eastAsia="it-IT"/>
                    </w:rPr>
                    <w:t>.</w:t>
                  </w:r>
                  <w:r w:rsidRPr="00F106D6">
                    <w:rPr>
                      <w:rFonts w:ascii="Verdana" w:eastAsia="Times New Roman" w:hAnsi="Verdana" w:cs="Times New Roman"/>
                      <w:color w:val="666666"/>
                      <w:sz w:val="14"/>
                      <w:szCs w:val="14"/>
                      <w:lang w:eastAsia="it-IT"/>
                    </w:rPr>
                    <w:br/>
                    <w:t> </w:t>
                  </w:r>
                  <w:r w:rsidRPr="00F106D6">
                    <w:rPr>
                      <w:rFonts w:ascii="Verdana" w:eastAsia="Times New Roman" w:hAnsi="Verdana" w:cs="Times New Roman"/>
                      <w:color w:val="666666"/>
                      <w:sz w:val="14"/>
                      <w:szCs w:val="14"/>
                      <w:lang w:eastAsia="it-IT"/>
                    </w:rPr>
                    <w:br/>
                    <w:t xml:space="preserve">La prima richiede che </w:t>
                  </w:r>
                  <w:r w:rsidRPr="00F106D6">
                    <w:rPr>
                      <w:rFonts w:ascii="Verdana" w:eastAsia="Times New Roman" w:hAnsi="Verdana" w:cs="Times New Roman"/>
                      <w:b/>
                      <w:bCs/>
                      <w:color w:val="666666"/>
                      <w:sz w:val="14"/>
                      <w:szCs w:val="14"/>
                      <w:lang w:eastAsia="it-IT"/>
                    </w:rPr>
                    <w:t>il testimone residente all’estero sia stato citato ma, ciò nonostante, non sia comparso</w:t>
                  </w:r>
                  <w:r w:rsidRPr="00F106D6">
                    <w:rPr>
                      <w:rFonts w:ascii="Verdana" w:eastAsia="Times New Roman" w:hAnsi="Verdana" w:cs="Times New Roman"/>
                      <w:color w:val="666666"/>
                      <w:sz w:val="14"/>
                      <w:szCs w:val="14"/>
                      <w:lang w:eastAsia="it-IT"/>
                    </w:rPr>
                    <w:t xml:space="preserve">. Il primo dubbio investe allora la natura della ricerca demandata al giudice affinché possa dirsi che il teste citato non sia comparso per accertata impossibilità di natura oggettiva. Ad un indirizzo massimalista, propenso a fermarsi di fronte alla difficoltà di ottenere la presenza del teste in tempi ragionevoli, sapendo che l’ordinamento non mette a disposizione strumenti coattivi per obbligarlo a tornare in Italia al fine di deporre, risponde – e con esso le odierne Sezioni Unite – una giurisprudenza più rigorosa, decisa a superare le difficoltà burocratiche presenti nella ricerca di persone residenti all’estero, per tentarne una </w:t>
                  </w:r>
                  <w:r w:rsidRPr="00F106D6">
                    <w:rPr>
                      <w:rFonts w:ascii="Verdana" w:eastAsia="Times New Roman" w:hAnsi="Verdana" w:cs="Times New Roman"/>
                      <w:b/>
                      <w:bCs/>
                      <w:color w:val="666666"/>
                      <w:sz w:val="14"/>
                      <w:szCs w:val="14"/>
                      <w:lang w:eastAsia="it-IT"/>
                    </w:rPr>
                    <w:t>effettiva e valida citazione</w:t>
                  </w:r>
                  <w:r w:rsidRPr="00F106D6">
                    <w:rPr>
                      <w:rFonts w:ascii="Verdana" w:eastAsia="Times New Roman" w:hAnsi="Verdana" w:cs="Times New Roman"/>
                      <w:color w:val="666666"/>
                      <w:sz w:val="14"/>
                      <w:szCs w:val="14"/>
                      <w:lang w:eastAsia="it-IT"/>
                    </w:rPr>
                    <w:t xml:space="preserve">. Del resto – prosegue la sentenza in esame – oltre allo strumento predisposto dall’art. 727 c.p.p., esiste la possibilità della </w:t>
                  </w:r>
                  <w:r w:rsidRPr="00F106D6">
                    <w:rPr>
                      <w:rFonts w:ascii="Verdana" w:eastAsia="Times New Roman" w:hAnsi="Verdana" w:cs="Times New Roman"/>
                      <w:b/>
                      <w:bCs/>
                      <w:color w:val="666666"/>
                      <w:sz w:val="14"/>
                      <w:szCs w:val="14"/>
                      <w:lang w:eastAsia="it-IT"/>
                    </w:rPr>
                    <w:t>rogatoria concelebrata</w:t>
                  </w:r>
                  <w:r w:rsidRPr="00F106D6">
                    <w:rPr>
                      <w:rFonts w:ascii="Verdana" w:eastAsia="Times New Roman" w:hAnsi="Verdana" w:cs="Times New Roman"/>
                      <w:color w:val="666666"/>
                      <w:sz w:val="14"/>
                      <w:szCs w:val="14"/>
                      <w:lang w:eastAsia="it-IT"/>
                    </w:rPr>
                    <w:t>, la cui impraticabilità andrebbe motivata nella sentenza che decidesse di condannare senza aver tentato di garantire all’imputato un confronto con il suo accusatore.</w:t>
                  </w:r>
                  <w:r w:rsidRPr="00F106D6">
                    <w:rPr>
                      <w:rFonts w:ascii="Verdana" w:eastAsia="Times New Roman" w:hAnsi="Verdana" w:cs="Times New Roman"/>
                      <w:color w:val="666666"/>
                      <w:sz w:val="14"/>
                      <w:szCs w:val="14"/>
                      <w:lang w:eastAsia="it-IT"/>
                    </w:rPr>
                    <w:br/>
                    <w:t> </w:t>
                  </w:r>
                  <w:r w:rsidRPr="00F106D6">
                    <w:rPr>
                      <w:rFonts w:ascii="Verdana" w:eastAsia="Times New Roman" w:hAnsi="Verdana" w:cs="Times New Roman"/>
                      <w:color w:val="666666"/>
                      <w:sz w:val="14"/>
                      <w:szCs w:val="14"/>
                      <w:lang w:eastAsia="it-IT"/>
                    </w:rPr>
                    <w:br/>
                  </w:r>
                  <w:r w:rsidRPr="00F106D6">
                    <w:rPr>
                      <w:rFonts w:ascii="Verdana" w:eastAsia="Times New Roman" w:hAnsi="Verdana" w:cs="Times New Roman"/>
                      <w:b/>
                      <w:bCs/>
                      <w:color w:val="666666"/>
                      <w:sz w:val="14"/>
                      <w:szCs w:val="14"/>
                      <w:lang w:eastAsia="it-IT"/>
                    </w:rPr>
                    <w:t>3.</w:t>
                  </w:r>
                  <w:r w:rsidRPr="00F106D6">
                    <w:rPr>
                      <w:rFonts w:ascii="Verdana" w:eastAsia="Times New Roman" w:hAnsi="Verdana" w:cs="Times New Roman"/>
                      <w:color w:val="666666"/>
                      <w:sz w:val="14"/>
                      <w:szCs w:val="14"/>
                      <w:lang w:eastAsia="it-IT"/>
                    </w:rPr>
                    <w:t xml:space="preserve"> In secondo luogo, perché la lettura sia legittima e le deposizioni utilizzabili, occorre che sia </w:t>
                  </w:r>
                  <w:r w:rsidRPr="00F106D6">
                    <w:rPr>
                      <w:rFonts w:ascii="Verdana" w:eastAsia="Times New Roman" w:hAnsi="Verdana" w:cs="Times New Roman"/>
                      <w:b/>
                      <w:bCs/>
                      <w:color w:val="666666"/>
                      <w:sz w:val="14"/>
                      <w:szCs w:val="14"/>
                      <w:lang w:eastAsia="it-IT"/>
                    </w:rPr>
                    <w:t>assolutamente impossibile l’esame dibattimentale</w:t>
                  </w:r>
                  <w:r w:rsidRPr="00F106D6">
                    <w:rPr>
                      <w:rFonts w:ascii="Verdana" w:eastAsia="Times New Roman" w:hAnsi="Verdana" w:cs="Times New Roman"/>
                      <w:color w:val="666666"/>
                      <w:sz w:val="14"/>
                      <w:szCs w:val="14"/>
                      <w:lang w:eastAsia="it-IT"/>
                    </w:rPr>
                    <w:t>: il che significa che non sono sufficienti mere difficoltà logistiche per ritenere soddisfatta la condizione voluta dalla legge, ma occorre che l’impossibilità dell’esame sia accertata e di natura oggettiva, come richiesto dall’art. 111 comma 5 Cost. Ancora una volta, l’ordinamento sembra suggerire la via della rogatoria mista, ma almeno non ci si fermi al mero dato dell’assenza del teste, riscontrata a fronte della correttezza formale della citazione.</w:t>
                  </w:r>
                  <w:r w:rsidRPr="00F106D6">
                    <w:rPr>
                      <w:rFonts w:ascii="Verdana" w:eastAsia="Times New Roman" w:hAnsi="Verdana" w:cs="Times New Roman"/>
                      <w:color w:val="666666"/>
                      <w:sz w:val="14"/>
                      <w:szCs w:val="14"/>
                      <w:lang w:eastAsia="it-IT"/>
                    </w:rPr>
                    <w:br/>
                    <w:t> </w:t>
                  </w:r>
                  <w:r w:rsidRPr="00F106D6">
                    <w:rPr>
                      <w:rFonts w:ascii="Verdana" w:eastAsia="Times New Roman" w:hAnsi="Verdana" w:cs="Times New Roman"/>
                      <w:color w:val="666666"/>
                      <w:sz w:val="14"/>
                      <w:szCs w:val="14"/>
                      <w:lang w:eastAsia="it-IT"/>
                    </w:rPr>
                    <w:br/>
                  </w:r>
                  <w:r w:rsidRPr="00F106D6">
                    <w:rPr>
                      <w:rFonts w:ascii="Verdana" w:eastAsia="Times New Roman" w:hAnsi="Verdana" w:cs="Times New Roman"/>
                      <w:b/>
                      <w:bCs/>
                      <w:color w:val="666666"/>
                      <w:sz w:val="14"/>
                      <w:szCs w:val="14"/>
                      <w:lang w:eastAsia="it-IT"/>
                    </w:rPr>
                    <w:t>4.</w:t>
                  </w:r>
                  <w:r w:rsidRPr="00F106D6">
                    <w:rPr>
                      <w:rFonts w:ascii="Verdana" w:eastAsia="Times New Roman" w:hAnsi="Verdana" w:cs="Times New Roman"/>
                      <w:color w:val="666666"/>
                      <w:sz w:val="14"/>
                      <w:szCs w:val="14"/>
                      <w:lang w:eastAsia="it-IT"/>
                    </w:rPr>
                    <w:t xml:space="preserve"> A margine (ma non troppo) di questo primo tema, la S.C. si attarda sulle </w:t>
                  </w:r>
                  <w:r w:rsidRPr="00F106D6">
                    <w:rPr>
                      <w:rFonts w:ascii="Verdana" w:eastAsia="Times New Roman" w:hAnsi="Verdana" w:cs="Times New Roman"/>
                      <w:b/>
                      <w:bCs/>
                      <w:color w:val="666666"/>
                      <w:sz w:val="14"/>
                      <w:szCs w:val="14"/>
                      <w:lang w:eastAsia="it-IT"/>
                    </w:rPr>
                    <w:t>ragioni della mancata notifica</w:t>
                  </w:r>
                  <w:r w:rsidRPr="00F106D6">
                    <w:rPr>
                      <w:rFonts w:ascii="Verdana" w:eastAsia="Times New Roman" w:hAnsi="Verdana" w:cs="Times New Roman"/>
                      <w:color w:val="666666"/>
                      <w:sz w:val="14"/>
                      <w:szCs w:val="14"/>
                      <w:lang w:eastAsia="it-IT"/>
                    </w:rPr>
                    <w:t>: infatti, le difficoltà di raggiungere una persona all’estero rendono arduo comprendere se il destinatario abbia deciso di non ricevere la notifica. La deposizione di chi si sia volontariamente e liberamente sottratto al confronto con l’accusato non può divenire strumento per decretarne la colpevolezza (art. 111 comma 4, seconda parte, Cost. e art. 526 comma 1-</w:t>
                  </w:r>
                  <w:r w:rsidRPr="00F106D6">
                    <w:rPr>
                      <w:rFonts w:ascii="Verdana" w:eastAsia="Times New Roman" w:hAnsi="Verdana" w:cs="Times New Roman"/>
                      <w:i/>
                      <w:iCs/>
                      <w:color w:val="666666"/>
                      <w:sz w:val="14"/>
                      <w:szCs w:val="14"/>
                      <w:lang w:eastAsia="it-IT"/>
                    </w:rPr>
                    <w:t>bis</w:t>
                  </w:r>
                  <w:r w:rsidRPr="00F106D6">
                    <w:rPr>
                      <w:rFonts w:ascii="Verdana" w:eastAsia="Times New Roman" w:hAnsi="Verdana" w:cs="Times New Roman"/>
                      <w:color w:val="666666"/>
                      <w:sz w:val="14"/>
                      <w:szCs w:val="14"/>
                      <w:lang w:eastAsia="it-IT"/>
                    </w:rPr>
                    <w:t xml:space="preserve"> c.p.p.), saldandosi con il diritto costituzionale di interrogare o far interrogare chi rende dichiarazioni a carico dell’imputato. Di conseguenza, solo una </w:t>
                  </w:r>
                  <w:r w:rsidRPr="00F106D6">
                    <w:rPr>
                      <w:rFonts w:ascii="Verdana" w:eastAsia="Times New Roman" w:hAnsi="Verdana" w:cs="Times New Roman"/>
                      <w:b/>
                      <w:bCs/>
                      <w:color w:val="666666"/>
                      <w:sz w:val="14"/>
                      <w:szCs w:val="14"/>
                      <w:lang w:eastAsia="it-IT"/>
                    </w:rPr>
                    <w:t>ricerca effettiva</w:t>
                  </w:r>
                  <w:r w:rsidRPr="00F106D6">
                    <w:rPr>
                      <w:rFonts w:ascii="Verdana" w:eastAsia="Times New Roman" w:hAnsi="Verdana" w:cs="Times New Roman"/>
                      <w:color w:val="666666"/>
                      <w:sz w:val="14"/>
                      <w:szCs w:val="14"/>
                      <w:lang w:eastAsia="it-IT"/>
                    </w:rPr>
                    <w:t xml:space="preserve"> e che abbia sfruttato ogni mezzo a disposizione del giudice permette di escludere la ventilata possibilità, assolvendo alla prima condizione di utilizzabilità di dichiarazioni non riscontrate.</w:t>
                  </w:r>
                  <w:r w:rsidRPr="00F106D6">
                    <w:rPr>
                      <w:rFonts w:ascii="Verdana" w:eastAsia="Times New Roman" w:hAnsi="Verdana" w:cs="Times New Roman"/>
                      <w:color w:val="666666"/>
                      <w:sz w:val="14"/>
                      <w:szCs w:val="14"/>
                      <w:lang w:eastAsia="it-IT"/>
                    </w:rPr>
                    <w:br/>
                    <w:t> </w:t>
                  </w:r>
                  <w:r w:rsidRPr="00F106D6">
                    <w:rPr>
                      <w:rFonts w:ascii="Verdana" w:eastAsia="Times New Roman" w:hAnsi="Verdana" w:cs="Times New Roman"/>
                      <w:color w:val="666666"/>
                      <w:sz w:val="14"/>
                      <w:szCs w:val="14"/>
                      <w:lang w:eastAsia="it-IT"/>
                    </w:rPr>
                    <w:br/>
                    <w:t xml:space="preserve">Da ultimo, il problema della </w:t>
                  </w:r>
                  <w:r w:rsidRPr="00F106D6">
                    <w:rPr>
                      <w:rFonts w:ascii="Verdana" w:eastAsia="Times New Roman" w:hAnsi="Verdana" w:cs="Times New Roman"/>
                      <w:b/>
                      <w:bCs/>
                      <w:color w:val="666666"/>
                      <w:sz w:val="14"/>
                      <w:szCs w:val="14"/>
                      <w:lang w:eastAsia="it-IT"/>
                    </w:rPr>
                    <w:t>volontarietà della sottrazione</w:t>
                  </w:r>
                  <w:r w:rsidRPr="00F106D6">
                    <w:rPr>
                      <w:rFonts w:ascii="Verdana" w:eastAsia="Times New Roman" w:hAnsi="Verdana" w:cs="Times New Roman"/>
                      <w:color w:val="666666"/>
                      <w:sz w:val="14"/>
                      <w:szCs w:val="14"/>
                      <w:lang w:eastAsia="it-IT"/>
                    </w:rPr>
                    <w:t xml:space="preserve"> al confronto si riflette sul momento di valutazione della prova, </w:t>
                  </w:r>
                  <w:r w:rsidRPr="00F106D6">
                    <w:rPr>
                      <w:rFonts w:ascii="Verdana" w:eastAsia="Times New Roman" w:hAnsi="Verdana" w:cs="Times New Roman"/>
                      <w:i/>
                      <w:iCs/>
                      <w:color w:val="666666"/>
                      <w:sz w:val="14"/>
                      <w:szCs w:val="14"/>
                      <w:lang w:eastAsia="it-IT"/>
                    </w:rPr>
                    <w:t xml:space="preserve">ex </w:t>
                  </w:r>
                  <w:r w:rsidRPr="00F106D6">
                    <w:rPr>
                      <w:rFonts w:ascii="Verdana" w:eastAsia="Times New Roman" w:hAnsi="Verdana" w:cs="Times New Roman"/>
                      <w:color w:val="666666"/>
                      <w:sz w:val="14"/>
                      <w:szCs w:val="14"/>
                      <w:lang w:eastAsia="it-IT"/>
                    </w:rPr>
                    <w:t>art. 526 comma 1-</w:t>
                  </w:r>
                  <w:r w:rsidRPr="00F106D6">
                    <w:rPr>
                      <w:rFonts w:ascii="Verdana" w:eastAsia="Times New Roman" w:hAnsi="Verdana" w:cs="Times New Roman"/>
                      <w:i/>
                      <w:iCs/>
                      <w:color w:val="666666"/>
                      <w:sz w:val="14"/>
                      <w:szCs w:val="14"/>
                      <w:lang w:eastAsia="it-IT"/>
                    </w:rPr>
                    <w:t xml:space="preserve">bis </w:t>
                  </w:r>
                  <w:r w:rsidRPr="00F106D6">
                    <w:rPr>
                      <w:rFonts w:ascii="Verdana" w:eastAsia="Times New Roman" w:hAnsi="Verdana" w:cs="Times New Roman"/>
                      <w:color w:val="666666"/>
                      <w:sz w:val="14"/>
                      <w:szCs w:val="14"/>
                      <w:lang w:eastAsia="it-IT"/>
                    </w:rPr>
                    <w:t xml:space="preserve">c.p.p.: la regola, omologa al principio costituzionale, sembra anche tradurre la lettura che la Corte di Strasburgo da tempo offre dell’art. 6 par. 3 lett. d) della Convenzione, secondo cui non è </w:t>
                  </w:r>
                  <w:r w:rsidRPr="00F106D6">
                    <w:rPr>
                      <w:rFonts w:ascii="Verdana" w:eastAsia="Times New Roman" w:hAnsi="Verdana" w:cs="Times New Roman"/>
                      <w:i/>
                      <w:iCs/>
                      <w:color w:val="666666"/>
                      <w:sz w:val="14"/>
                      <w:szCs w:val="14"/>
                      <w:lang w:eastAsia="it-IT"/>
                    </w:rPr>
                    <w:t xml:space="preserve">fair </w:t>
                  </w:r>
                  <w:r w:rsidRPr="00F106D6">
                    <w:rPr>
                      <w:rFonts w:ascii="Verdana" w:eastAsia="Times New Roman" w:hAnsi="Verdana" w:cs="Times New Roman"/>
                      <w:color w:val="666666"/>
                      <w:sz w:val="14"/>
                      <w:szCs w:val="14"/>
                      <w:lang w:eastAsia="it-IT"/>
                    </w:rPr>
                    <w:t>quel processo che permetta al giudice di condannare considerando determinante un elemento sul quale l’accusato non abbia avuto un’occasione sufficiente per confrontarsi con l’accusatore.</w:t>
                  </w:r>
                </w:p>
              </w:tc>
            </w:tr>
          </w:tbl>
          <w:p w:rsidR="00F106D6" w:rsidRPr="00F106D6" w:rsidRDefault="00F106D6" w:rsidP="00F106D6">
            <w:pPr>
              <w:spacing w:after="0" w:line="240" w:lineRule="auto"/>
              <w:jc w:val="center"/>
              <w:rPr>
                <w:rFonts w:ascii="Verdana" w:eastAsia="Times New Roman" w:hAnsi="Verdana" w:cs="Times New Roman"/>
                <w:color w:val="666666"/>
                <w:sz w:val="14"/>
                <w:szCs w:val="14"/>
                <w:lang w:eastAsia="it-IT"/>
              </w:rPr>
            </w:pPr>
          </w:p>
        </w:tc>
      </w:tr>
    </w:tbl>
    <w:p w:rsidR="007B1903" w:rsidRDefault="007B1903"/>
    <w:sectPr w:rsidR="007B1903" w:rsidSect="007B1903">
      <w:pgSz w:w="11906" w:h="16838"/>
      <w:pgMar w:top="1417"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E0002AEF" w:usb1="C0007841"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defaultTabStop w:val="708"/>
  <w:hyphenationZone w:val="283"/>
  <w:characterSpacingControl w:val="doNotCompress"/>
  <w:compat/>
  <w:rsids>
    <w:rsidRoot w:val="00F106D6"/>
    <w:rsid w:val="003F7DF6"/>
    <w:rsid w:val="007B1903"/>
    <w:rsid w:val="00913D63"/>
    <w:rsid w:val="00F106D6"/>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7B1903"/>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semiHidden/>
    <w:unhideWhenUsed/>
    <w:rsid w:val="00F106D6"/>
    <w:rPr>
      <w:rFonts w:ascii="Verdana" w:hAnsi="Verdana" w:hint="default"/>
      <w:strike w:val="0"/>
      <w:dstrike w:val="0"/>
      <w:color w:val="999999"/>
      <w:u w:val="none"/>
      <w:effect w:val="non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www.penalecontemporaneo.it/gliautori/155-herv__belluta/"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858</Words>
  <Characters>4894</Characters>
  <Application>Microsoft Office Word</Application>
  <DocSecurity>0</DocSecurity>
  <Lines>40</Lines>
  <Paragraphs>11</Paragraphs>
  <ScaleCrop>false</ScaleCrop>
  <Company/>
  <LinksUpToDate>false</LinksUpToDate>
  <CharactersWithSpaces>5741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HERVE'</dc:creator>
  <cp:lastModifiedBy>HERVE'</cp:lastModifiedBy>
  <cp:revision>1</cp:revision>
  <dcterms:created xsi:type="dcterms:W3CDTF">2012-07-09T10:43:00Z</dcterms:created>
  <dcterms:modified xsi:type="dcterms:W3CDTF">2012-07-09T10:45:00Z</dcterms:modified>
</cp:coreProperties>
</file>